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9A004" w14:textId="34F12FD9" w:rsidR="00E0278E" w:rsidRPr="00A94C62" w:rsidRDefault="00E0278E" w:rsidP="00886CE3">
      <w:pPr>
        <w:spacing w:after="0" w:line="240" w:lineRule="auto"/>
        <w:jc w:val="right"/>
        <w:rPr>
          <w:rFonts w:ascii="Arial" w:hAnsi="Arial" w:cs="Arial"/>
          <w:bCs/>
        </w:rPr>
      </w:pPr>
      <w:r w:rsidRPr="00A94C62">
        <w:rPr>
          <w:rFonts w:ascii="Arial" w:hAnsi="Arial" w:cs="Arial"/>
          <w:bCs/>
        </w:rPr>
        <w:t xml:space="preserve">Bogotá, D.C. </w:t>
      </w:r>
      <w:r w:rsidR="00BB7C88" w:rsidRPr="00A94C62">
        <w:rPr>
          <w:rFonts w:ascii="Arial" w:hAnsi="Arial" w:cs="Arial"/>
          <w:bCs/>
        </w:rPr>
        <w:t>2</w:t>
      </w:r>
      <w:r w:rsidR="000A46F9" w:rsidRPr="00A94C62">
        <w:rPr>
          <w:rFonts w:ascii="Arial" w:hAnsi="Arial" w:cs="Arial"/>
          <w:bCs/>
        </w:rPr>
        <w:t>1 de junio de 2021</w:t>
      </w:r>
    </w:p>
    <w:p w14:paraId="7558CEB6" w14:textId="4BADE1BF" w:rsidR="00145EA9" w:rsidRPr="00A94C62" w:rsidRDefault="00145EA9" w:rsidP="00886CE3">
      <w:pPr>
        <w:pStyle w:val="NormalWeb"/>
        <w:spacing w:before="0" w:beforeAutospacing="0" w:after="0" w:afterAutospacing="0"/>
        <w:jc w:val="both"/>
        <w:rPr>
          <w:rFonts w:ascii="Arial" w:hAnsi="Arial" w:cs="Arial"/>
          <w:color w:val="000000"/>
          <w:sz w:val="22"/>
          <w:szCs w:val="22"/>
        </w:rPr>
      </w:pPr>
    </w:p>
    <w:p w14:paraId="06F6C4D3" w14:textId="29179720" w:rsidR="005C64AA" w:rsidRPr="00A94C62" w:rsidRDefault="005C64AA" w:rsidP="00A90E3D">
      <w:pPr>
        <w:pStyle w:val="NormalWeb"/>
        <w:spacing w:before="0" w:beforeAutospacing="0" w:after="0" w:afterAutospacing="0"/>
        <w:jc w:val="both"/>
        <w:rPr>
          <w:rFonts w:ascii="Arial" w:hAnsi="Arial" w:cs="Arial"/>
          <w:color w:val="000000"/>
          <w:sz w:val="22"/>
          <w:szCs w:val="22"/>
        </w:rPr>
      </w:pPr>
      <w:r w:rsidRPr="00A94C62">
        <w:rPr>
          <w:rFonts w:ascii="Arial" w:hAnsi="Arial" w:cs="Arial"/>
          <w:color w:val="000000"/>
          <w:sz w:val="22"/>
          <w:szCs w:val="22"/>
        </w:rPr>
        <w:t>Honorables congresistas</w:t>
      </w:r>
    </w:p>
    <w:p w14:paraId="717ED487" w14:textId="09BB6B1F" w:rsidR="00A90E3D" w:rsidRPr="00A94C62" w:rsidRDefault="00A90E3D" w:rsidP="00A90E3D">
      <w:pPr>
        <w:pStyle w:val="NormalWeb"/>
        <w:spacing w:before="0" w:beforeAutospacing="0" w:after="0" w:afterAutospacing="0"/>
        <w:jc w:val="both"/>
        <w:rPr>
          <w:rFonts w:ascii="Arial" w:hAnsi="Arial" w:cs="Arial"/>
          <w:color w:val="000000"/>
          <w:sz w:val="22"/>
          <w:szCs w:val="22"/>
        </w:rPr>
      </w:pPr>
      <w:r w:rsidRPr="00A94C62">
        <w:rPr>
          <w:rFonts w:ascii="Arial" w:hAnsi="Arial" w:cs="Arial"/>
          <w:b/>
          <w:bCs/>
          <w:color w:val="000000"/>
          <w:sz w:val="22"/>
          <w:szCs w:val="22"/>
        </w:rPr>
        <w:t>ARTURO CHAR CHALJUB</w:t>
      </w:r>
    </w:p>
    <w:p w14:paraId="1F93505D" w14:textId="4561E499" w:rsidR="00A90E3D" w:rsidRPr="00A94C62" w:rsidRDefault="00A90E3D" w:rsidP="00CF158A">
      <w:pPr>
        <w:pStyle w:val="NormalWeb"/>
        <w:spacing w:before="0" w:beforeAutospacing="0" w:after="0" w:afterAutospacing="0"/>
        <w:jc w:val="both"/>
        <w:rPr>
          <w:rFonts w:ascii="Arial" w:hAnsi="Arial" w:cs="Arial"/>
          <w:color w:val="000000"/>
          <w:sz w:val="22"/>
          <w:szCs w:val="22"/>
        </w:rPr>
      </w:pPr>
      <w:r w:rsidRPr="00A94C62">
        <w:rPr>
          <w:rFonts w:ascii="Arial" w:hAnsi="Arial" w:cs="Arial"/>
          <w:color w:val="000000"/>
          <w:sz w:val="22"/>
          <w:szCs w:val="22"/>
        </w:rPr>
        <w:t>Presidente Senado de la República</w:t>
      </w:r>
    </w:p>
    <w:p w14:paraId="614DD06D" w14:textId="42583F3E" w:rsidR="00CF158A" w:rsidRPr="00A94C62" w:rsidRDefault="00CF158A" w:rsidP="00CF158A">
      <w:pPr>
        <w:pStyle w:val="NormalWeb"/>
        <w:spacing w:before="0" w:beforeAutospacing="0" w:after="0" w:afterAutospacing="0"/>
        <w:jc w:val="both"/>
        <w:rPr>
          <w:rFonts w:ascii="Arial" w:hAnsi="Arial" w:cs="Arial"/>
          <w:b/>
          <w:bCs/>
          <w:color w:val="000000"/>
          <w:sz w:val="22"/>
          <w:szCs w:val="22"/>
        </w:rPr>
      </w:pPr>
      <w:r w:rsidRPr="00A94C62">
        <w:rPr>
          <w:rFonts w:ascii="Arial" w:hAnsi="Arial" w:cs="Arial"/>
          <w:b/>
          <w:bCs/>
          <w:color w:val="000000"/>
          <w:sz w:val="22"/>
          <w:szCs w:val="22"/>
        </w:rPr>
        <w:t>GERMÁN ALCIDES BLANCO ÁLVAREZ</w:t>
      </w:r>
    </w:p>
    <w:p w14:paraId="0141D120" w14:textId="77777777" w:rsidR="00CF158A" w:rsidRPr="00A94C62" w:rsidRDefault="00CF158A" w:rsidP="00CF158A">
      <w:pPr>
        <w:pStyle w:val="NormalWeb"/>
        <w:spacing w:before="0" w:beforeAutospacing="0" w:after="0" w:afterAutospacing="0"/>
        <w:jc w:val="both"/>
        <w:rPr>
          <w:rFonts w:ascii="Arial" w:hAnsi="Arial" w:cs="Arial"/>
          <w:color w:val="000000"/>
          <w:sz w:val="22"/>
          <w:szCs w:val="22"/>
        </w:rPr>
      </w:pPr>
      <w:r w:rsidRPr="00A94C62">
        <w:rPr>
          <w:rFonts w:ascii="Arial" w:hAnsi="Arial" w:cs="Arial"/>
          <w:color w:val="000000"/>
          <w:sz w:val="22"/>
          <w:szCs w:val="22"/>
        </w:rPr>
        <w:t>Presidente Cámara de Representantes</w:t>
      </w:r>
    </w:p>
    <w:p w14:paraId="21BCB536" w14:textId="4DAC6468" w:rsidR="00CF158A" w:rsidRPr="00A94C62" w:rsidRDefault="000A46F9" w:rsidP="00CF158A">
      <w:pPr>
        <w:pStyle w:val="NormalWeb"/>
        <w:spacing w:before="0" w:beforeAutospacing="0" w:after="0" w:afterAutospacing="0"/>
        <w:jc w:val="both"/>
        <w:rPr>
          <w:rFonts w:ascii="Arial" w:hAnsi="Arial" w:cs="Arial"/>
          <w:b/>
          <w:bCs/>
          <w:color w:val="000000"/>
          <w:sz w:val="22"/>
          <w:szCs w:val="22"/>
        </w:rPr>
      </w:pPr>
      <w:r w:rsidRPr="00A94C62">
        <w:rPr>
          <w:rFonts w:ascii="Arial" w:hAnsi="Arial" w:cs="Arial"/>
          <w:b/>
          <w:bCs/>
          <w:color w:val="000000"/>
          <w:sz w:val="22"/>
          <w:szCs w:val="22"/>
        </w:rPr>
        <w:t>Ciudad</w:t>
      </w:r>
    </w:p>
    <w:p w14:paraId="2A386E7E" w14:textId="2323DCBB" w:rsidR="00026E18" w:rsidRPr="00A94C62" w:rsidRDefault="00026E18" w:rsidP="000A46F9">
      <w:pPr>
        <w:pStyle w:val="NormalWeb"/>
        <w:spacing w:after="0"/>
        <w:ind w:left="1416"/>
        <w:jc w:val="both"/>
        <w:rPr>
          <w:rFonts w:ascii="Arial" w:hAnsi="Arial" w:cs="Arial"/>
          <w:sz w:val="22"/>
          <w:szCs w:val="22"/>
        </w:rPr>
      </w:pPr>
      <w:r w:rsidRPr="00A94C62">
        <w:rPr>
          <w:rFonts w:ascii="Arial" w:hAnsi="Arial" w:cs="Arial"/>
          <w:b/>
          <w:bCs/>
          <w:color w:val="000000"/>
          <w:sz w:val="22"/>
          <w:szCs w:val="22"/>
        </w:rPr>
        <w:t xml:space="preserve">REF:  </w:t>
      </w:r>
      <w:r w:rsidRPr="00A94C62">
        <w:rPr>
          <w:rFonts w:ascii="Arial" w:hAnsi="Arial" w:cs="Arial"/>
          <w:sz w:val="22"/>
          <w:szCs w:val="22"/>
        </w:rPr>
        <w:t>Informe de c</w:t>
      </w:r>
      <w:r w:rsidR="00FC1C21" w:rsidRPr="00A94C62">
        <w:rPr>
          <w:rFonts w:ascii="Arial" w:hAnsi="Arial" w:cs="Arial"/>
          <w:sz w:val="22"/>
          <w:szCs w:val="22"/>
        </w:rPr>
        <w:t>onciliación al Proyecto de Ley No</w:t>
      </w:r>
      <w:r w:rsidR="001A037C" w:rsidRPr="00A94C62">
        <w:rPr>
          <w:rFonts w:ascii="Arial" w:hAnsi="Arial" w:cs="Arial"/>
          <w:sz w:val="22"/>
          <w:szCs w:val="22"/>
        </w:rPr>
        <w:t>s</w:t>
      </w:r>
      <w:r w:rsidRPr="00A94C62">
        <w:rPr>
          <w:rFonts w:ascii="Arial" w:hAnsi="Arial" w:cs="Arial"/>
          <w:sz w:val="22"/>
          <w:szCs w:val="22"/>
        </w:rPr>
        <w:t>.</w:t>
      </w:r>
      <w:r w:rsidR="000A46F9" w:rsidRPr="00A94C62">
        <w:rPr>
          <w:rFonts w:ascii="Arial" w:hAnsi="Arial" w:cs="Arial"/>
          <w:sz w:val="22"/>
          <w:szCs w:val="22"/>
        </w:rPr>
        <w:t xml:space="preserve"> 482/2021 (Senado) y 625/2021 (Cámara) “</w:t>
      </w:r>
      <w:r w:rsidR="00CD4F38" w:rsidRPr="00A94C62">
        <w:rPr>
          <w:rFonts w:ascii="Arial" w:hAnsi="Arial" w:cs="Arial"/>
          <w:sz w:val="22"/>
          <w:szCs w:val="22"/>
        </w:rPr>
        <w:t>p</w:t>
      </w:r>
      <w:r w:rsidR="000A46F9" w:rsidRPr="00A94C62">
        <w:rPr>
          <w:rFonts w:ascii="Arial" w:hAnsi="Arial" w:cs="Arial"/>
          <w:sz w:val="22"/>
          <w:szCs w:val="22"/>
        </w:rPr>
        <w:t>or medio de la cual se modifican las Leyes 488 de 1998 y 788 de 20</w:t>
      </w:r>
      <w:r w:rsidR="005C64AA" w:rsidRPr="00A94C62">
        <w:rPr>
          <w:rFonts w:ascii="Arial" w:hAnsi="Arial" w:cs="Arial"/>
          <w:sz w:val="22"/>
          <w:szCs w:val="22"/>
        </w:rPr>
        <w:t>0</w:t>
      </w:r>
      <w:r w:rsidR="000A46F9" w:rsidRPr="00A94C62">
        <w:rPr>
          <w:rFonts w:ascii="Arial" w:hAnsi="Arial" w:cs="Arial"/>
          <w:sz w:val="22"/>
          <w:szCs w:val="22"/>
        </w:rPr>
        <w:t>2”</w:t>
      </w:r>
    </w:p>
    <w:p w14:paraId="692B427C" w14:textId="6A30816E" w:rsidR="00886CE3" w:rsidRPr="00A94C62" w:rsidRDefault="00026E18" w:rsidP="00886CE3">
      <w:pPr>
        <w:autoSpaceDE w:val="0"/>
        <w:autoSpaceDN w:val="0"/>
        <w:adjustRightInd w:val="0"/>
        <w:spacing w:after="0" w:line="240" w:lineRule="auto"/>
        <w:rPr>
          <w:rFonts w:ascii="Arial" w:hAnsi="Arial" w:cs="Arial"/>
        </w:rPr>
      </w:pPr>
      <w:r w:rsidRPr="00A94C62">
        <w:rPr>
          <w:rFonts w:ascii="Arial" w:hAnsi="Arial" w:cs="Arial"/>
        </w:rPr>
        <w:t>Respetados Presidentes:</w:t>
      </w:r>
    </w:p>
    <w:p w14:paraId="0ABA05E7" w14:textId="79673BC1" w:rsidR="00CF158A" w:rsidRPr="00A94C62" w:rsidRDefault="00CF158A" w:rsidP="00886CE3">
      <w:pPr>
        <w:autoSpaceDE w:val="0"/>
        <w:autoSpaceDN w:val="0"/>
        <w:adjustRightInd w:val="0"/>
        <w:spacing w:after="0" w:line="240" w:lineRule="auto"/>
        <w:rPr>
          <w:rFonts w:ascii="Arial" w:hAnsi="Arial" w:cs="Arial"/>
        </w:rPr>
      </w:pPr>
    </w:p>
    <w:p w14:paraId="68C2E36F" w14:textId="2891D028" w:rsidR="000A46F9" w:rsidRPr="00A94C62" w:rsidRDefault="000A46F9" w:rsidP="00886CE3">
      <w:pPr>
        <w:autoSpaceDE w:val="0"/>
        <w:autoSpaceDN w:val="0"/>
        <w:adjustRightInd w:val="0"/>
        <w:spacing w:after="0" w:line="240" w:lineRule="auto"/>
        <w:jc w:val="both"/>
        <w:rPr>
          <w:rFonts w:ascii="Arial" w:hAnsi="Arial" w:cs="Arial"/>
        </w:rPr>
      </w:pPr>
      <w:r w:rsidRPr="00A94C62">
        <w:rPr>
          <w:rFonts w:ascii="Arial" w:hAnsi="Arial" w:cs="Arial"/>
        </w:rPr>
        <w:t>En atención de lo dispuesto por el artículo</w:t>
      </w:r>
      <w:r w:rsidR="00026E18" w:rsidRPr="00A94C62">
        <w:rPr>
          <w:rFonts w:ascii="Arial" w:hAnsi="Arial" w:cs="Arial"/>
        </w:rPr>
        <w:t xml:space="preserve"> 161 de la Constitución Política y </w:t>
      </w:r>
      <w:r w:rsidRPr="00A94C62">
        <w:rPr>
          <w:rFonts w:ascii="Arial" w:hAnsi="Arial" w:cs="Arial"/>
        </w:rPr>
        <w:t xml:space="preserve">los artículos </w:t>
      </w:r>
      <w:r w:rsidR="00026E18" w:rsidRPr="00A94C62">
        <w:rPr>
          <w:rFonts w:ascii="Arial" w:hAnsi="Arial" w:cs="Arial"/>
        </w:rPr>
        <w:t>186</w:t>
      </w:r>
      <w:r w:rsidRPr="00A94C62">
        <w:rPr>
          <w:rFonts w:ascii="Arial" w:hAnsi="Arial" w:cs="Arial"/>
        </w:rPr>
        <w:t>, 187 y 188</w:t>
      </w:r>
      <w:r w:rsidR="00026E18" w:rsidRPr="00A94C62">
        <w:rPr>
          <w:rFonts w:ascii="Arial" w:hAnsi="Arial" w:cs="Arial"/>
        </w:rPr>
        <w:t xml:space="preserve"> de la Ley 5 de</w:t>
      </w:r>
      <w:r w:rsidR="002D1895" w:rsidRPr="00A94C62">
        <w:rPr>
          <w:rFonts w:ascii="Arial" w:hAnsi="Arial" w:cs="Arial"/>
        </w:rPr>
        <w:t xml:space="preserve"> </w:t>
      </w:r>
      <w:r w:rsidR="00026E18" w:rsidRPr="00A94C62">
        <w:rPr>
          <w:rFonts w:ascii="Arial" w:hAnsi="Arial" w:cs="Arial"/>
        </w:rPr>
        <w:t>1992</w:t>
      </w:r>
      <w:r w:rsidRPr="00A94C62">
        <w:rPr>
          <w:rFonts w:ascii="Arial" w:hAnsi="Arial" w:cs="Arial"/>
        </w:rPr>
        <w:t xml:space="preserve"> y la honrosa designación que nos hicieran las Mesas Directivas de ambas células legislativas, de manera atenta, nos permitimos rendir informe de conciliación sobre el Proyecto de Ley de la referencia bajo los siguientes términos:</w:t>
      </w:r>
    </w:p>
    <w:p w14:paraId="0B1C2EE8" w14:textId="77777777" w:rsidR="000A46F9" w:rsidRPr="00A94C62" w:rsidRDefault="000A46F9" w:rsidP="00886CE3">
      <w:pPr>
        <w:autoSpaceDE w:val="0"/>
        <w:autoSpaceDN w:val="0"/>
        <w:adjustRightInd w:val="0"/>
        <w:spacing w:after="0" w:line="240" w:lineRule="auto"/>
        <w:jc w:val="both"/>
        <w:rPr>
          <w:rFonts w:ascii="Arial" w:hAnsi="Arial" w:cs="Arial"/>
        </w:rPr>
      </w:pPr>
    </w:p>
    <w:p w14:paraId="219738F9" w14:textId="6E4E7302" w:rsidR="00026E18" w:rsidRPr="00A94C62" w:rsidRDefault="00026E18" w:rsidP="00886CE3">
      <w:pPr>
        <w:autoSpaceDE w:val="0"/>
        <w:autoSpaceDN w:val="0"/>
        <w:adjustRightInd w:val="0"/>
        <w:spacing w:after="0" w:line="240" w:lineRule="auto"/>
        <w:jc w:val="both"/>
        <w:rPr>
          <w:rFonts w:ascii="Arial" w:hAnsi="Arial" w:cs="Arial"/>
        </w:rPr>
      </w:pPr>
      <w:r w:rsidRPr="00A94C62">
        <w:rPr>
          <w:rFonts w:ascii="Arial" w:hAnsi="Arial" w:cs="Arial"/>
        </w:rPr>
        <w:t>Para cumplir con nuestro cometido, procedimos a realizar un estudio comparativo</w:t>
      </w:r>
      <w:r w:rsidR="00145EA9" w:rsidRPr="00A94C62">
        <w:rPr>
          <w:rFonts w:ascii="Arial" w:hAnsi="Arial" w:cs="Arial"/>
        </w:rPr>
        <w:t xml:space="preserve"> </w:t>
      </w:r>
      <w:r w:rsidRPr="00A94C62">
        <w:rPr>
          <w:rFonts w:ascii="Arial" w:hAnsi="Arial" w:cs="Arial"/>
        </w:rPr>
        <w:t>de los</w:t>
      </w:r>
      <w:r w:rsidR="00145EA9" w:rsidRPr="00A94C62">
        <w:rPr>
          <w:rFonts w:ascii="Arial" w:hAnsi="Arial" w:cs="Arial"/>
        </w:rPr>
        <w:t xml:space="preserve"> </w:t>
      </w:r>
      <w:r w:rsidRPr="00A94C62">
        <w:rPr>
          <w:rFonts w:ascii="Arial" w:hAnsi="Arial" w:cs="Arial"/>
        </w:rPr>
        <w:t>textos aprob</w:t>
      </w:r>
      <w:r w:rsidR="00F30FA7" w:rsidRPr="00A94C62">
        <w:rPr>
          <w:rFonts w:ascii="Arial" w:hAnsi="Arial" w:cs="Arial"/>
        </w:rPr>
        <w:t>ados en las respectivas cámaras con el fin de</w:t>
      </w:r>
      <w:r w:rsidRPr="00A94C62">
        <w:rPr>
          <w:rFonts w:ascii="Arial" w:hAnsi="Arial" w:cs="Arial"/>
        </w:rPr>
        <w:t xml:space="preserve"> </w:t>
      </w:r>
      <w:r w:rsidR="00F30FA7" w:rsidRPr="00A94C62">
        <w:rPr>
          <w:rFonts w:ascii="Arial" w:hAnsi="Arial" w:cs="Arial"/>
        </w:rPr>
        <w:t>analizar</w:t>
      </w:r>
      <w:r w:rsidRPr="00A94C62">
        <w:rPr>
          <w:rFonts w:ascii="Arial" w:hAnsi="Arial" w:cs="Arial"/>
        </w:rPr>
        <w:t xml:space="preserve"> su</w:t>
      </w:r>
      <w:r w:rsidR="00145EA9" w:rsidRPr="00A94C62">
        <w:rPr>
          <w:rFonts w:ascii="Arial" w:hAnsi="Arial" w:cs="Arial"/>
        </w:rPr>
        <w:t xml:space="preserve"> </w:t>
      </w:r>
      <w:r w:rsidRPr="00A94C62">
        <w:rPr>
          <w:rFonts w:ascii="Arial" w:hAnsi="Arial" w:cs="Arial"/>
        </w:rPr>
        <w:t xml:space="preserve">contenido y </w:t>
      </w:r>
      <w:r w:rsidR="00F30FA7" w:rsidRPr="00A94C62">
        <w:rPr>
          <w:rFonts w:ascii="Arial" w:hAnsi="Arial" w:cs="Arial"/>
        </w:rPr>
        <w:t>encontrar las</w:t>
      </w:r>
      <w:r w:rsidRPr="00A94C62">
        <w:rPr>
          <w:rFonts w:ascii="Arial" w:hAnsi="Arial" w:cs="Arial"/>
        </w:rPr>
        <w:t xml:space="preserve"> discrepancias en</w:t>
      </w:r>
      <w:r w:rsidR="00F30FA7" w:rsidRPr="00A94C62">
        <w:rPr>
          <w:rFonts w:ascii="Arial" w:hAnsi="Arial" w:cs="Arial"/>
        </w:rPr>
        <w:t>tre</w:t>
      </w:r>
      <w:r w:rsidRPr="00A94C62">
        <w:rPr>
          <w:rFonts w:ascii="Arial" w:hAnsi="Arial" w:cs="Arial"/>
        </w:rPr>
        <w:t xml:space="preserve"> los dos textos, </w:t>
      </w:r>
      <w:r w:rsidR="00F30FA7" w:rsidRPr="00A94C62">
        <w:rPr>
          <w:rFonts w:ascii="Arial" w:hAnsi="Arial" w:cs="Arial"/>
        </w:rPr>
        <w:t xml:space="preserve">a partir de lo cual </w:t>
      </w:r>
      <w:r w:rsidR="00C73626" w:rsidRPr="00A94C62">
        <w:rPr>
          <w:rFonts w:ascii="Arial" w:hAnsi="Arial" w:cs="Arial"/>
        </w:rPr>
        <w:t xml:space="preserve">proponemos </w:t>
      </w:r>
      <w:r w:rsidRPr="00A94C62">
        <w:rPr>
          <w:rFonts w:ascii="Arial" w:hAnsi="Arial" w:cs="Arial"/>
        </w:rPr>
        <w:t>un texto que</w:t>
      </w:r>
      <w:r w:rsidR="00145EA9" w:rsidRPr="00A94C62">
        <w:rPr>
          <w:rFonts w:ascii="Arial" w:hAnsi="Arial" w:cs="Arial"/>
        </w:rPr>
        <w:t xml:space="preserve"> </w:t>
      </w:r>
      <w:r w:rsidRPr="00A94C62">
        <w:rPr>
          <w:rFonts w:ascii="Arial" w:hAnsi="Arial" w:cs="Arial"/>
        </w:rPr>
        <w:t>supera las divergencias entre las dos corporaciones.</w:t>
      </w:r>
    </w:p>
    <w:p w14:paraId="5927995D" w14:textId="26811810" w:rsidR="00145EA9" w:rsidRPr="00A94C62" w:rsidRDefault="00145EA9" w:rsidP="00886CE3">
      <w:pPr>
        <w:pStyle w:val="NormalWeb"/>
        <w:spacing w:before="0" w:beforeAutospacing="0" w:after="0" w:afterAutospacing="0"/>
        <w:jc w:val="both"/>
        <w:rPr>
          <w:rFonts w:ascii="Arial" w:eastAsiaTheme="minorHAnsi" w:hAnsi="Arial" w:cs="Arial"/>
          <w:sz w:val="22"/>
          <w:szCs w:val="22"/>
          <w:lang w:eastAsia="en-US"/>
        </w:rPr>
      </w:pPr>
    </w:p>
    <w:p w14:paraId="5C375D42" w14:textId="2240793F" w:rsidR="006C1E95" w:rsidRPr="00A94C62" w:rsidRDefault="000A46F9" w:rsidP="00886CE3">
      <w:pPr>
        <w:pStyle w:val="NormalWeb"/>
        <w:spacing w:before="0" w:beforeAutospacing="0" w:after="0" w:afterAutospacing="0"/>
        <w:jc w:val="both"/>
        <w:rPr>
          <w:rFonts w:ascii="Arial" w:eastAsiaTheme="minorHAnsi" w:hAnsi="Arial" w:cs="Arial"/>
          <w:sz w:val="22"/>
          <w:szCs w:val="22"/>
          <w:lang w:eastAsia="en-US"/>
        </w:rPr>
      </w:pPr>
      <w:r w:rsidRPr="00A94C62">
        <w:rPr>
          <w:rFonts w:ascii="Arial" w:eastAsiaTheme="minorHAnsi" w:hAnsi="Arial" w:cs="Arial"/>
          <w:sz w:val="22"/>
          <w:szCs w:val="22"/>
          <w:lang w:eastAsia="en-US"/>
        </w:rPr>
        <w:t xml:space="preserve">El Proyecto de Ley No. </w:t>
      </w:r>
      <w:r w:rsidR="006C1E95" w:rsidRPr="00A94C62">
        <w:rPr>
          <w:rFonts w:ascii="Arial" w:eastAsiaTheme="minorHAnsi" w:hAnsi="Arial" w:cs="Arial"/>
          <w:sz w:val="22"/>
          <w:szCs w:val="22"/>
          <w:lang w:eastAsia="en-US"/>
        </w:rPr>
        <w:t>482 de 2021</w:t>
      </w:r>
      <w:r w:rsidRPr="00A94C62">
        <w:rPr>
          <w:rFonts w:ascii="Arial" w:eastAsiaTheme="minorHAnsi" w:hAnsi="Arial" w:cs="Arial"/>
          <w:sz w:val="22"/>
          <w:szCs w:val="22"/>
          <w:lang w:eastAsia="en-US"/>
        </w:rPr>
        <w:t xml:space="preserve"> Senado, </w:t>
      </w:r>
      <w:r w:rsidR="006C1E95" w:rsidRPr="00A94C62">
        <w:rPr>
          <w:rFonts w:ascii="Arial" w:eastAsiaTheme="minorHAnsi" w:hAnsi="Arial" w:cs="Arial"/>
          <w:sz w:val="22"/>
          <w:szCs w:val="22"/>
          <w:lang w:eastAsia="en-US"/>
        </w:rPr>
        <w:t>625 de 2021</w:t>
      </w:r>
      <w:r w:rsidRPr="00A94C62">
        <w:rPr>
          <w:rFonts w:ascii="Arial" w:eastAsiaTheme="minorHAnsi" w:hAnsi="Arial" w:cs="Arial"/>
          <w:sz w:val="22"/>
          <w:szCs w:val="22"/>
          <w:lang w:eastAsia="en-US"/>
        </w:rPr>
        <w:t xml:space="preserve"> Cámara, “</w:t>
      </w:r>
      <w:r w:rsidR="00CD4F38" w:rsidRPr="00A94C62">
        <w:rPr>
          <w:rFonts w:ascii="Arial" w:hAnsi="Arial" w:cs="Arial"/>
          <w:sz w:val="22"/>
          <w:szCs w:val="22"/>
        </w:rPr>
        <w:t>p</w:t>
      </w:r>
      <w:r w:rsidR="006C1E95" w:rsidRPr="00A94C62">
        <w:rPr>
          <w:rFonts w:ascii="Arial" w:hAnsi="Arial" w:cs="Arial"/>
          <w:sz w:val="22"/>
          <w:szCs w:val="22"/>
        </w:rPr>
        <w:t>or medio de la cual se modifican las Leyes 488 de 1998 y 788 de 20</w:t>
      </w:r>
      <w:r w:rsidR="005C64AA" w:rsidRPr="00A94C62">
        <w:rPr>
          <w:rFonts w:ascii="Arial" w:hAnsi="Arial" w:cs="Arial"/>
          <w:sz w:val="22"/>
          <w:szCs w:val="22"/>
        </w:rPr>
        <w:t>0</w:t>
      </w:r>
      <w:r w:rsidR="006C1E95" w:rsidRPr="00A94C62">
        <w:rPr>
          <w:rFonts w:ascii="Arial" w:hAnsi="Arial" w:cs="Arial"/>
          <w:sz w:val="22"/>
          <w:szCs w:val="22"/>
        </w:rPr>
        <w:t>2</w:t>
      </w:r>
      <w:r w:rsidRPr="00A94C62">
        <w:rPr>
          <w:rFonts w:ascii="Arial" w:eastAsiaTheme="minorHAnsi" w:hAnsi="Arial" w:cs="Arial"/>
          <w:sz w:val="22"/>
          <w:szCs w:val="22"/>
          <w:lang w:eastAsia="en-US"/>
        </w:rPr>
        <w:t>”, presentó modificaciones a lo largo de su trámite legislativo, razón por la cual, el texto aprobado en la plenaria  del Senado de la República</w:t>
      </w:r>
      <w:r w:rsidR="00A94C62" w:rsidRPr="00A94C62">
        <w:rPr>
          <w:rFonts w:ascii="Arial" w:eastAsiaTheme="minorHAnsi" w:hAnsi="Arial" w:cs="Arial"/>
          <w:sz w:val="22"/>
          <w:szCs w:val="22"/>
          <w:lang w:eastAsia="en-US"/>
        </w:rPr>
        <w:t xml:space="preserve"> difiere del texto aprobado en la plenaria de la Cámara de Representantes</w:t>
      </w:r>
      <w:r w:rsidRPr="00A94C62">
        <w:rPr>
          <w:rFonts w:ascii="Arial" w:eastAsiaTheme="minorHAnsi" w:hAnsi="Arial" w:cs="Arial"/>
          <w:sz w:val="22"/>
          <w:szCs w:val="22"/>
          <w:lang w:eastAsia="en-US"/>
        </w:rPr>
        <w:t xml:space="preserve">. </w:t>
      </w:r>
    </w:p>
    <w:p w14:paraId="7F3E7355" w14:textId="77777777" w:rsidR="006C1E95" w:rsidRPr="00A94C62" w:rsidRDefault="006C1E95" w:rsidP="00886CE3">
      <w:pPr>
        <w:pStyle w:val="NormalWeb"/>
        <w:spacing w:before="0" w:beforeAutospacing="0" w:after="0" w:afterAutospacing="0"/>
        <w:jc w:val="both"/>
        <w:rPr>
          <w:rFonts w:ascii="Arial" w:eastAsiaTheme="minorHAnsi" w:hAnsi="Arial" w:cs="Arial"/>
          <w:sz w:val="22"/>
          <w:szCs w:val="22"/>
          <w:lang w:eastAsia="en-US"/>
        </w:rPr>
      </w:pPr>
    </w:p>
    <w:p w14:paraId="4184DD6D" w14:textId="1BE6CC99" w:rsidR="000A46F9" w:rsidRPr="00A94C62" w:rsidRDefault="000A46F9" w:rsidP="00886CE3">
      <w:pPr>
        <w:pStyle w:val="NormalWeb"/>
        <w:spacing w:before="0" w:beforeAutospacing="0" w:after="0" w:afterAutospacing="0"/>
        <w:jc w:val="both"/>
        <w:rPr>
          <w:rFonts w:ascii="Arial" w:eastAsiaTheme="minorHAnsi" w:hAnsi="Arial" w:cs="Arial"/>
          <w:sz w:val="22"/>
          <w:szCs w:val="22"/>
          <w:lang w:eastAsia="en-US"/>
        </w:rPr>
      </w:pPr>
      <w:r w:rsidRPr="00A94C62">
        <w:rPr>
          <w:rFonts w:ascii="Arial" w:eastAsiaTheme="minorHAnsi" w:hAnsi="Arial" w:cs="Arial"/>
          <w:sz w:val="22"/>
          <w:szCs w:val="22"/>
          <w:lang w:eastAsia="en-US"/>
        </w:rPr>
        <w:t xml:space="preserve">Teniendo en cuenta lo anterior, se hace necesaria su conciliación a fin de que, una vez se surta el trámite de discusión y votación del presente informe, se proceda a su sanción presidencial y se convierta en Ley de la República. </w:t>
      </w:r>
    </w:p>
    <w:p w14:paraId="7EA107E5" w14:textId="02B8CDB6" w:rsidR="00CF158A" w:rsidRPr="00A94C62" w:rsidRDefault="00CF158A" w:rsidP="00886CE3">
      <w:pPr>
        <w:pStyle w:val="NormalWeb"/>
        <w:spacing w:before="0" w:beforeAutospacing="0" w:after="0" w:afterAutospacing="0"/>
        <w:jc w:val="both"/>
        <w:rPr>
          <w:rFonts w:ascii="Arial" w:hAnsi="Arial" w:cs="Arial"/>
          <w:sz w:val="22"/>
          <w:szCs w:val="22"/>
        </w:rPr>
      </w:pPr>
    </w:p>
    <w:p w14:paraId="6B79328A" w14:textId="419453DD" w:rsidR="006C1E95" w:rsidRPr="00A94C62" w:rsidRDefault="006C1E95" w:rsidP="006C1E95">
      <w:pPr>
        <w:pStyle w:val="NormalWeb"/>
        <w:spacing w:before="0" w:beforeAutospacing="0" w:after="0" w:afterAutospacing="0"/>
        <w:jc w:val="both"/>
        <w:rPr>
          <w:rFonts w:ascii="Arial" w:hAnsi="Arial" w:cs="Arial"/>
          <w:sz w:val="22"/>
          <w:szCs w:val="22"/>
        </w:rPr>
      </w:pPr>
      <w:r w:rsidRPr="00A94C62">
        <w:rPr>
          <w:rFonts w:ascii="Arial" w:hAnsi="Arial" w:cs="Arial"/>
          <w:sz w:val="22"/>
          <w:szCs w:val="22"/>
        </w:rPr>
        <w:t>Para facilitar la discusión, a continuación, se presenta un cuadro comparativo de los textos aprobados por las respectivas plenarias, subrayando las diferencias que existen entre estos, e indicando el texto que se propone adoptar.</w:t>
      </w:r>
    </w:p>
    <w:p w14:paraId="291BF59C" w14:textId="496DF3C5" w:rsidR="00CF158A" w:rsidRPr="00A94C62" w:rsidRDefault="00CF158A" w:rsidP="00886CE3">
      <w:pPr>
        <w:pStyle w:val="NormalWeb"/>
        <w:spacing w:before="0" w:beforeAutospacing="0" w:after="0" w:afterAutospacing="0"/>
        <w:jc w:val="both"/>
        <w:rPr>
          <w:rFonts w:ascii="Arial" w:hAnsi="Arial" w:cs="Arial"/>
          <w:sz w:val="22"/>
          <w:szCs w:val="22"/>
        </w:rPr>
      </w:pPr>
    </w:p>
    <w:p w14:paraId="11FF3D79" w14:textId="69D43D7B" w:rsidR="00F33808" w:rsidRDefault="00CF158A" w:rsidP="00A94C62">
      <w:pPr>
        <w:pStyle w:val="NormalWeb"/>
        <w:spacing w:before="0" w:beforeAutospacing="0" w:after="0" w:afterAutospacing="0"/>
        <w:jc w:val="center"/>
        <w:rPr>
          <w:rFonts w:ascii="Arial" w:hAnsi="Arial" w:cs="Arial"/>
          <w:b/>
          <w:bCs/>
          <w:sz w:val="22"/>
          <w:szCs w:val="22"/>
        </w:rPr>
      </w:pPr>
      <w:r w:rsidRPr="00A94C62">
        <w:rPr>
          <w:rFonts w:ascii="Arial" w:hAnsi="Arial" w:cs="Arial"/>
          <w:b/>
          <w:bCs/>
          <w:sz w:val="22"/>
          <w:szCs w:val="22"/>
        </w:rPr>
        <w:t>TEXTOS APROBADOS</w:t>
      </w:r>
    </w:p>
    <w:p w14:paraId="0E478E73" w14:textId="76282BD7" w:rsidR="000A0C42" w:rsidRPr="00A94C62" w:rsidRDefault="000A0C42" w:rsidP="00A94C62">
      <w:pPr>
        <w:pStyle w:val="NormalWeb"/>
        <w:spacing w:before="0" w:beforeAutospacing="0" w:after="0" w:afterAutospacing="0"/>
        <w:jc w:val="center"/>
        <w:rPr>
          <w:rFonts w:ascii="Arial" w:hAnsi="Arial" w:cs="Arial"/>
          <w:b/>
          <w:bCs/>
          <w:sz w:val="22"/>
          <w:szCs w:val="22"/>
        </w:rPr>
      </w:pPr>
    </w:p>
    <w:tbl>
      <w:tblPr>
        <w:tblStyle w:val="Tablaconcuadrcula"/>
        <w:tblW w:w="8926" w:type="dxa"/>
        <w:tblLayout w:type="fixed"/>
        <w:tblLook w:val="06A0" w:firstRow="1" w:lastRow="0" w:firstColumn="1" w:lastColumn="0" w:noHBand="1" w:noVBand="1"/>
      </w:tblPr>
      <w:tblGrid>
        <w:gridCol w:w="3397"/>
        <w:gridCol w:w="3402"/>
        <w:gridCol w:w="2127"/>
      </w:tblGrid>
      <w:tr w:rsidR="00FB5C89" w:rsidRPr="00A94C62" w14:paraId="25F90536" w14:textId="77777777" w:rsidTr="009F3475">
        <w:trPr>
          <w:trHeight w:val="227"/>
          <w:tblHeader/>
        </w:trPr>
        <w:tc>
          <w:tcPr>
            <w:tcW w:w="3397" w:type="dxa"/>
            <w:shd w:val="clear" w:color="auto" w:fill="E7E6E6" w:themeFill="background2"/>
            <w:vAlign w:val="center"/>
            <w:hideMark/>
          </w:tcPr>
          <w:p w14:paraId="32EFCDFF" w14:textId="5C839DD5" w:rsidR="00CF158A" w:rsidRPr="00A94C62" w:rsidRDefault="00CF158A" w:rsidP="00CF158A">
            <w:pPr>
              <w:pStyle w:val="NormalWeb"/>
              <w:spacing w:after="0"/>
              <w:jc w:val="center"/>
              <w:rPr>
                <w:rFonts w:ascii="Arial" w:hAnsi="Arial" w:cs="Arial"/>
                <w:b/>
                <w:bCs/>
                <w:sz w:val="20"/>
                <w:szCs w:val="20"/>
              </w:rPr>
            </w:pPr>
            <w:r w:rsidRPr="00A94C62">
              <w:rPr>
                <w:rFonts w:ascii="Arial" w:hAnsi="Arial" w:cs="Arial"/>
                <w:b/>
                <w:bCs/>
                <w:sz w:val="20"/>
                <w:szCs w:val="20"/>
              </w:rPr>
              <w:t>TEXTO CÁMARA</w:t>
            </w:r>
            <w:r w:rsidR="00F33808" w:rsidRPr="00A94C62">
              <w:rPr>
                <w:rFonts w:ascii="Arial" w:hAnsi="Arial" w:cs="Arial"/>
                <w:b/>
                <w:bCs/>
                <w:sz w:val="20"/>
                <w:szCs w:val="20"/>
              </w:rPr>
              <w:t xml:space="preserve"> DE REPRESENTANTES</w:t>
            </w:r>
          </w:p>
        </w:tc>
        <w:tc>
          <w:tcPr>
            <w:tcW w:w="3402" w:type="dxa"/>
            <w:shd w:val="clear" w:color="auto" w:fill="E7E6E6" w:themeFill="background2"/>
            <w:vAlign w:val="center"/>
            <w:hideMark/>
          </w:tcPr>
          <w:p w14:paraId="34BE844F" w14:textId="2AE29E5E" w:rsidR="00CF158A" w:rsidRPr="00A94C62" w:rsidRDefault="00CF158A" w:rsidP="00CF158A">
            <w:pPr>
              <w:pStyle w:val="NormalWeb"/>
              <w:spacing w:after="0"/>
              <w:jc w:val="center"/>
              <w:rPr>
                <w:rFonts w:ascii="Arial" w:hAnsi="Arial" w:cs="Arial"/>
                <w:b/>
                <w:bCs/>
                <w:sz w:val="20"/>
                <w:szCs w:val="20"/>
              </w:rPr>
            </w:pPr>
            <w:r w:rsidRPr="00A94C62">
              <w:rPr>
                <w:rFonts w:ascii="Arial" w:hAnsi="Arial" w:cs="Arial"/>
                <w:b/>
                <w:bCs/>
                <w:sz w:val="20"/>
                <w:szCs w:val="20"/>
              </w:rPr>
              <w:t>TEXTO SENADO</w:t>
            </w:r>
            <w:r w:rsidR="00F33808" w:rsidRPr="00A94C62">
              <w:rPr>
                <w:rFonts w:ascii="Arial" w:hAnsi="Arial" w:cs="Arial"/>
                <w:b/>
                <w:bCs/>
                <w:sz w:val="20"/>
                <w:szCs w:val="20"/>
              </w:rPr>
              <w:t xml:space="preserve"> DE LA REPÚBLICA</w:t>
            </w:r>
          </w:p>
        </w:tc>
        <w:tc>
          <w:tcPr>
            <w:tcW w:w="2127" w:type="dxa"/>
            <w:shd w:val="clear" w:color="auto" w:fill="E7E6E6" w:themeFill="background2"/>
            <w:vAlign w:val="center"/>
            <w:hideMark/>
          </w:tcPr>
          <w:p w14:paraId="0BE687EB" w14:textId="77777777" w:rsidR="00CF158A" w:rsidRPr="00A94C62" w:rsidRDefault="00CF158A" w:rsidP="00CF158A">
            <w:pPr>
              <w:pStyle w:val="NormalWeb"/>
              <w:spacing w:after="0"/>
              <w:jc w:val="center"/>
              <w:rPr>
                <w:rFonts w:ascii="Arial" w:hAnsi="Arial" w:cs="Arial"/>
                <w:b/>
                <w:bCs/>
                <w:sz w:val="20"/>
                <w:szCs w:val="20"/>
              </w:rPr>
            </w:pPr>
            <w:r w:rsidRPr="00A94C62">
              <w:rPr>
                <w:rFonts w:ascii="Arial" w:hAnsi="Arial" w:cs="Arial"/>
                <w:b/>
                <w:bCs/>
                <w:sz w:val="20"/>
                <w:szCs w:val="20"/>
              </w:rPr>
              <w:t>TEXTO QUE SE ACOGE</w:t>
            </w:r>
          </w:p>
        </w:tc>
      </w:tr>
      <w:tr w:rsidR="009C6A74" w:rsidRPr="00A94C62" w14:paraId="7497C94F" w14:textId="77777777" w:rsidTr="00F7648C">
        <w:trPr>
          <w:trHeight w:val="227"/>
        </w:trPr>
        <w:tc>
          <w:tcPr>
            <w:tcW w:w="3397" w:type="dxa"/>
            <w:vAlign w:val="center"/>
          </w:tcPr>
          <w:p w14:paraId="109CFB49" w14:textId="63C36CE9" w:rsidR="009C6A74" w:rsidRPr="00A94C62" w:rsidRDefault="009C6A74" w:rsidP="003D59B2">
            <w:pPr>
              <w:pStyle w:val="NormalWeb"/>
              <w:spacing w:after="0"/>
              <w:jc w:val="center"/>
              <w:rPr>
                <w:rFonts w:ascii="Arial" w:hAnsi="Arial" w:cs="Arial"/>
                <w:b/>
                <w:bCs/>
                <w:sz w:val="20"/>
                <w:szCs w:val="20"/>
              </w:rPr>
            </w:pPr>
            <w:r w:rsidRPr="00A94C62">
              <w:rPr>
                <w:rFonts w:ascii="Arial" w:hAnsi="Arial" w:cs="Arial"/>
                <w:sz w:val="20"/>
                <w:szCs w:val="20"/>
              </w:rPr>
              <w:t>“</w:t>
            </w:r>
            <w:r w:rsidR="00A94C62" w:rsidRPr="00A94C62">
              <w:rPr>
                <w:rFonts w:ascii="Arial" w:hAnsi="Arial" w:cs="Arial"/>
                <w:sz w:val="20"/>
                <w:szCs w:val="20"/>
              </w:rPr>
              <w:t>p</w:t>
            </w:r>
            <w:r w:rsidRPr="00A94C62">
              <w:rPr>
                <w:rFonts w:ascii="Arial" w:hAnsi="Arial" w:cs="Arial"/>
                <w:sz w:val="20"/>
                <w:szCs w:val="20"/>
              </w:rPr>
              <w:t>or medio de la cual se modifican las Leyes 488 de 1998 y 788 de 20</w:t>
            </w:r>
            <w:r w:rsidR="005C64AA" w:rsidRPr="00A94C62">
              <w:rPr>
                <w:rFonts w:ascii="Arial" w:hAnsi="Arial" w:cs="Arial"/>
                <w:sz w:val="20"/>
                <w:szCs w:val="20"/>
              </w:rPr>
              <w:t>0</w:t>
            </w:r>
            <w:r w:rsidRPr="00A94C62">
              <w:rPr>
                <w:rFonts w:ascii="Arial" w:hAnsi="Arial" w:cs="Arial"/>
                <w:sz w:val="20"/>
                <w:szCs w:val="20"/>
              </w:rPr>
              <w:t>2”</w:t>
            </w:r>
          </w:p>
        </w:tc>
        <w:tc>
          <w:tcPr>
            <w:tcW w:w="3402" w:type="dxa"/>
            <w:vAlign w:val="center"/>
          </w:tcPr>
          <w:p w14:paraId="7160E414" w14:textId="305E440E" w:rsidR="009C6A74" w:rsidRPr="00A94C62" w:rsidRDefault="009C6A74" w:rsidP="003D59B2">
            <w:pPr>
              <w:pStyle w:val="NormalWeb"/>
              <w:spacing w:after="0"/>
              <w:jc w:val="center"/>
              <w:rPr>
                <w:rFonts w:ascii="Arial" w:hAnsi="Arial" w:cs="Arial"/>
                <w:b/>
                <w:bCs/>
                <w:sz w:val="20"/>
                <w:szCs w:val="20"/>
              </w:rPr>
            </w:pPr>
            <w:r w:rsidRPr="00A94C62">
              <w:rPr>
                <w:rFonts w:ascii="Arial" w:hAnsi="Arial" w:cs="Arial"/>
                <w:sz w:val="20"/>
                <w:szCs w:val="20"/>
              </w:rPr>
              <w:t>“</w:t>
            </w:r>
            <w:r w:rsidR="00A94C62" w:rsidRPr="00A94C62">
              <w:rPr>
                <w:rFonts w:ascii="Arial" w:hAnsi="Arial" w:cs="Arial"/>
                <w:sz w:val="20"/>
                <w:szCs w:val="20"/>
              </w:rPr>
              <w:t>p</w:t>
            </w:r>
            <w:r w:rsidRPr="00A94C62">
              <w:rPr>
                <w:rFonts w:ascii="Arial" w:hAnsi="Arial" w:cs="Arial"/>
                <w:sz w:val="20"/>
                <w:szCs w:val="20"/>
              </w:rPr>
              <w:t>or medio de la cual se modifican las Leyes 488 de 1998 y 788 de 20</w:t>
            </w:r>
            <w:r w:rsidR="005C64AA" w:rsidRPr="00A94C62">
              <w:rPr>
                <w:rFonts w:ascii="Arial" w:hAnsi="Arial" w:cs="Arial"/>
                <w:sz w:val="20"/>
                <w:szCs w:val="20"/>
              </w:rPr>
              <w:t>0</w:t>
            </w:r>
            <w:r w:rsidRPr="00A94C62">
              <w:rPr>
                <w:rFonts w:ascii="Arial" w:hAnsi="Arial" w:cs="Arial"/>
                <w:sz w:val="20"/>
                <w:szCs w:val="20"/>
              </w:rPr>
              <w:t>2”</w:t>
            </w:r>
          </w:p>
        </w:tc>
        <w:tc>
          <w:tcPr>
            <w:tcW w:w="2127" w:type="dxa"/>
            <w:vMerge w:val="restart"/>
            <w:noWrap/>
          </w:tcPr>
          <w:p w14:paraId="2D1AB4D3" w14:textId="2A178006" w:rsidR="009C6A74" w:rsidRPr="00A94C62" w:rsidRDefault="009C6A74" w:rsidP="005C64AA">
            <w:pPr>
              <w:pStyle w:val="NormalWeb"/>
              <w:spacing w:after="0"/>
              <w:jc w:val="both"/>
              <w:rPr>
                <w:rFonts w:ascii="Arial" w:hAnsi="Arial" w:cs="Arial"/>
                <w:bCs/>
                <w:sz w:val="20"/>
                <w:szCs w:val="20"/>
              </w:rPr>
            </w:pPr>
            <w:r w:rsidRPr="00A94C62">
              <w:rPr>
                <w:rFonts w:ascii="Arial" w:hAnsi="Arial" w:cs="Arial"/>
                <w:bCs/>
                <w:sz w:val="20"/>
                <w:szCs w:val="20"/>
              </w:rPr>
              <w:t xml:space="preserve">El título </w:t>
            </w:r>
            <w:r w:rsidRPr="00A94C62">
              <w:rPr>
                <w:rFonts w:ascii="Arial" w:hAnsi="Arial" w:cs="Arial"/>
                <w:sz w:val="20"/>
                <w:szCs w:val="20"/>
              </w:rPr>
              <w:t>fue aprobado de manera idéntica por la Plenaria de la Cámara de Representantes y del Senado de la República</w:t>
            </w:r>
          </w:p>
        </w:tc>
      </w:tr>
      <w:tr w:rsidR="009C6A74" w:rsidRPr="00A94C62" w14:paraId="19EBCA94" w14:textId="77777777" w:rsidTr="00F7648C">
        <w:trPr>
          <w:trHeight w:val="227"/>
        </w:trPr>
        <w:tc>
          <w:tcPr>
            <w:tcW w:w="3397" w:type="dxa"/>
            <w:hideMark/>
          </w:tcPr>
          <w:p w14:paraId="4D620389" w14:textId="1ED8C320" w:rsidR="009C6A74" w:rsidRPr="00A94C62" w:rsidRDefault="009C6A74" w:rsidP="009C6A74">
            <w:pPr>
              <w:spacing w:line="276" w:lineRule="auto"/>
              <w:ind w:left="22"/>
              <w:jc w:val="center"/>
              <w:rPr>
                <w:rFonts w:ascii="Arial" w:hAnsi="Arial" w:cs="Arial"/>
                <w:b/>
                <w:sz w:val="20"/>
                <w:szCs w:val="20"/>
                <w:lang w:val="es-ES"/>
              </w:rPr>
            </w:pPr>
            <w:r w:rsidRPr="00A94C62">
              <w:rPr>
                <w:rFonts w:ascii="Arial" w:hAnsi="Arial" w:cs="Arial"/>
                <w:b/>
                <w:sz w:val="20"/>
                <w:szCs w:val="20"/>
                <w:lang w:val="es-ES"/>
              </w:rPr>
              <w:t>EL CONGRESO DE LA REPÚBLICA DE COLOMBIA</w:t>
            </w:r>
          </w:p>
          <w:p w14:paraId="5D499CFE" w14:textId="0E154DFF" w:rsidR="009C6A74" w:rsidRPr="00A94C62" w:rsidRDefault="009C6A74" w:rsidP="009C6A74">
            <w:pPr>
              <w:spacing w:line="276" w:lineRule="auto"/>
              <w:ind w:left="22"/>
              <w:jc w:val="center"/>
              <w:rPr>
                <w:rFonts w:ascii="Arial" w:hAnsi="Arial" w:cs="Arial"/>
                <w:b/>
                <w:sz w:val="20"/>
                <w:szCs w:val="20"/>
                <w:lang w:val="es-ES"/>
              </w:rPr>
            </w:pPr>
            <w:r w:rsidRPr="00A94C62">
              <w:rPr>
                <w:rFonts w:ascii="Arial" w:hAnsi="Arial" w:cs="Arial"/>
                <w:b/>
                <w:sz w:val="20"/>
                <w:szCs w:val="20"/>
                <w:lang w:val="es-ES"/>
              </w:rPr>
              <w:t>DECRETA</w:t>
            </w:r>
          </w:p>
        </w:tc>
        <w:tc>
          <w:tcPr>
            <w:tcW w:w="3402" w:type="dxa"/>
            <w:hideMark/>
          </w:tcPr>
          <w:p w14:paraId="6C1894D6" w14:textId="41BB927F" w:rsidR="009C6A74" w:rsidRPr="00A94C62" w:rsidRDefault="009C6A74" w:rsidP="009C6A74">
            <w:pPr>
              <w:spacing w:line="276" w:lineRule="auto"/>
              <w:ind w:left="22"/>
              <w:jc w:val="center"/>
              <w:rPr>
                <w:rFonts w:ascii="Arial" w:hAnsi="Arial" w:cs="Arial"/>
                <w:b/>
                <w:sz w:val="20"/>
                <w:szCs w:val="20"/>
                <w:lang w:val="es-ES"/>
              </w:rPr>
            </w:pPr>
            <w:bookmarkStart w:id="0" w:name="_Hlk75197167"/>
            <w:r w:rsidRPr="00A94C62">
              <w:rPr>
                <w:rFonts w:ascii="Arial" w:hAnsi="Arial" w:cs="Arial"/>
                <w:b/>
                <w:sz w:val="20"/>
                <w:szCs w:val="20"/>
                <w:lang w:val="es-ES"/>
              </w:rPr>
              <w:t>EL CONGRESO DE LA REPÚBLICA DE COLOMBIA DECRETA</w:t>
            </w:r>
            <w:bookmarkEnd w:id="0"/>
          </w:p>
        </w:tc>
        <w:tc>
          <w:tcPr>
            <w:tcW w:w="2127" w:type="dxa"/>
            <w:vMerge/>
            <w:noWrap/>
            <w:hideMark/>
          </w:tcPr>
          <w:p w14:paraId="0612CA69" w14:textId="53EFFB7C" w:rsidR="009C6A74" w:rsidRPr="00A94C62" w:rsidRDefault="009C6A74" w:rsidP="00FB5C89">
            <w:pPr>
              <w:pStyle w:val="NormalWeb"/>
              <w:spacing w:after="0"/>
              <w:jc w:val="center"/>
              <w:rPr>
                <w:rFonts w:ascii="Arial" w:hAnsi="Arial" w:cs="Arial"/>
                <w:b/>
                <w:bCs/>
                <w:sz w:val="20"/>
                <w:szCs w:val="20"/>
              </w:rPr>
            </w:pPr>
          </w:p>
        </w:tc>
      </w:tr>
      <w:tr w:rsidR="00BA3344" w:rsidRPr="00A94C62" w14:paraId="49A2D8D5" w14:textId="77777777" w:rsidTr="00F7648C">
        <w:trPr>
          <w:trHeight w:val="227"/>
        </w:trPr>
        <w:tc>
          <w:tcPr>
            <w:tcW w:w="3397" w:type="dxa"/>
          </w:tcPr>
          <w:p w14:paraId="325DF8FA" w14:textId="126C8E10" w:rsidR="000F35EB" w:rsidRPr="00A94C62" w:rsidRDefault="000F35EB" w:rsidP="000F35EB">
            <w:pPr>
              <w:keepNext/>
              <w:widowControl w:val="0"/>
              <w:tabs>
                <w:tab w:val="left" w:pos="1560"/>
              </w:tabs>
              <w:spacing w:line="276" w:lineRule="auto"/>
              <w:jc w:val="both"/>
              <w:rPr>
                <w:rFonts w:ascii="Arial" w:hAnsi="Arial" w:cs="Arial"/>
                <w:sz w:val="20"/>
                <w:szCs w:val="20"/>
                <w:lang w:val="es-ES"/>
              </w:rPr>
            </w:pPr>
            <w:bookmarkStart w:id="1" w:name="_Hlk75197271"/>
            <w:r w:rsidRPr="00A94C62">
              <w:rPr>
                <w:rFonts w:ascii="Arial" w:hAnsi="Arial" w:cs="Arial"/>
                <w:b/>
                <w:bCs/>
                <w:sz w:val="20"/>
                <w:szCs w:val="20"/>
              </w:rPr>
              <w:lastRenderedPageBreak/>
              <w:t xml:space="preserve">ARTÍCULO 1. </w:t>
            </w:r>
            <w:r w:rsidRPr="00A94C62">
              <w:rPr>
                <w:rFonts w:ascii="Arial" w:hAnsi="Arial" w:cs="Arial"/>
                <w:sz w:val="20"/>
                <w:szCs w:val="20"/>
                <w:lang w:val="es-ES"/>
              </w:rPr>
              <w:t>Modifíquese el artículo 117 de la Ley 488 de 1998, el cual quedará así:</w:t>
            </w:r>
          </w:p>
          <w:p w14:paraId="5A254E95" w14:textId="77777777" w:rsidR="000F35EB" w:rsidRPr="00A94C62" w:rsidRDefault="000F35EB" w:rsidP="000F35EB">
            <w:pPr>
              <w:pStyle w:val="Prrafodelista"/>
              <w:keepNext/>
              <w:widowControl w:val="0"/>
              <w:tabs>
                <w:tab w:val="left" w:pos="1560"/>
              </w:tabs>
              <w:spacing w:line="276" w:lineRule="auto"/>
              <w:ind w:left="0"/>
              <w:jc w:val="both"/>
              <w:rPr>
                <w:rFonts w:ascii="Arial" w:hAnsi="Arial" w:cs="Arial"/>
                <w:sz w:val="20"/>
                <w:szCs w:val="20"/>
                <w:lang w:val="es-ES"/>
              </w:rPr>
            </w:pPr>
          </w:p>
          <w:p w14:paraId="64449A12" w14:textId="0C8CF928" w:rsidR="000F35EB" w:rsidRPr="00A94C62" w:rsidRDefault="000F35EB" w:rsidP="000F35EB">
            <w:pPr>
              <w:pStyle w:val="pa23"/>
              <w:spacing w:before="0" w:beforeAutospacing="0" w:after="0" w:afterAutospacing="0" w:line="276" w:lineRule="auto"/>
              <w:ind w:left="708"/>
              <w:jc w:val="both"/>
              <w:rPr>
                <w:rFonts w:ascii="Arial" w:eastAsiaTheme="minorHAnsi" w:hAnsi="Arial" w:cs="Arial"/>
                <w:sz w:val="20"/>
                <w:szCs w:val="20"/>
                <w:lang w:val="es-ES" w:eastAsia="en-US"/>
              </w:rPr>
            </w:pPr>
            <w:r w:rsidRPr="00A94C62">
              <w:rPr>
                <w:rFonts w:ascii="Arial" w:eastAsiaTheme="minorHAnsi" w:hAnsi="Arial" w:cs="Arial"/>
                <w:b/>
                <w:sz w:val="20"/>
                <w:szCs w:val="20"/>
                <w:lang w:val="es-ES" w:eastAsia="en-US"/>
              </w:rPr>
              <w:t>ARTÍCULO 117°. Sobretasa a la gasolina motor y al ACPM.</w:t>
            </w:r>
            <w:r w:rsidRPr="00A94C62">
              <w:rPr>
                <w:rFonts w:ascii="Arial" w:eastAsiaTheme="minorHAnsi" w:hAnsi="Arial" w:cs="Arial"/>
                <w:sz w:val="20"/>
                <w:szCs w:val="20"/>
                <w:lang w:val="es-ES" w:eastAsia="en-US"/>
              </w:rPr>
              <w:t xml:space="preserve"> Autorícese a los municipios, distritos y departamentos, para adoptar la sobretasa a la gasolina motor extra y corriente, en las condiciones establecidas en la presente ley.</w:t>
            </w:r>
          </w:p>
          <w:p w14:paraId="36D78C9E" w14:textId="77777777" w:rsidR="000F35EB" w:rsidRPr="00A94C62" w:rsidRDefault="000F35EB" w:rsidP="000F35EB">
            <w:pPr>
              <w:pStyle w:val="pa23"/>
              <w:spacing w:before="0" w:beforeAutospacing="0" w:after="0" w:afterAutospacing="0" w:line="276" w:lineRule="auto"/>
              <w:ind w:left="708"/>
              <w:jc w:val="both"/>
              <w:rPr>
                <w:rFonts w:ascii="Arial" w:eastAsiaTheme="minorHAnsi" w:hAnsi="Arial" w:cs="Arial"/>
                <w:sz w:val="20"/>
                <w:szCs w:val="20"/>
                <w:lang w:val="es-ES" w:eastAsia="en-US"/>
              </w:rPr>
            </w:pPr>
          </w:p>
          <w:p w14:paraId="063A4858" w14:textId="71F9FB37" w:rsidR="000F35EB" w:rsidRPr="00A94C62" w:rsidRDefault="000F35EB" w:rsidP="000F35EB">
            <w:pPr>
              <w:spacing w:line="276" w:lineRule="auto"/>
              <w:ind w:left="708"/>
              <w:jc w:val="both"/>
              <w:rPr>
                <w:rFonts w:ascii="Arial" w:hAnsi="Arial" w:cs="Arial"/>
                <w:sz w:val="20"/>
                <w:szCs w:val="20"/>
                <w:lang w:val="es-ES"/>
              </w:rPr>
            </w:pPr>
            <w:r w:rsidRPr="00A94C62">
              <w:rPr>
                <w:rFonts w:ascii="Arial" w:hAnsi="Arial" w:cs="Arial"/>
                <w:sz w:val="20"/>
                <w:szCs w:val="20"/>
                <w:lang w:val="es-ES"/>
              </w:rPr>
              <w:t xml:space="preserve">Créase como contribución nacional la sobretasa al ACPM. La sobretasa al ACPM </w:t>
            </w:r>
            <w:r w:rsidRPr="00A94C62" w:rsidDel="00C33A6D">
              <w:rPr>
                <w:rFonts w:ascii="Arial" w:hAnsi="Arial" w:cs="Arial"/>
                <w:sz w:val="20"/>
                <w:szCs w:val="20"/>
                <w:lang w:val="es-ES"/>
              </w:rPr>
              <w:t xml:space="preserve">será </w:t>
            </w:r>
            <w:r w:rsidRPr="00A94C62">
              <w:rPr>
                <w:rFonts w:ascii="Arial" w:hAnsi="Arial" w:cs="Arial"/>
                <w:sz w:val="20"/>
                <w:szCs w:val="20"/>
                <w:lang w:val="es-ES"/>
              </w:rPr>
              <w:t xml:space="preserve">cobrada por la Nación y distribuida en un cincuenta por ciento (50%) para el mantenimiento de la red vial nacional y otro cincuenta por ciento (50%) para los departamentos incluido el Distrito Capital con destino al mantenimiento de la red vial. La base gravable, el hecho generador, la declaración, el pago, la </w:t>
            </w:r>
            <w:proofErr w:type="spellStart"/>
            <w:r w:rsidRPr="00A94C62">
              <w:rPr>
                <w:rFonts w:ascii="Arial" w:hAnsi="Arial" w:cs="Arial"/>
                <w:sz w:val="20"/>
                <w:szCs w:val="20"/>
                <w:lang w:val="es-ES"/>
              </w:rPr>
              <w:t>causación</w:t>
            </w:r>
            <w:proofErr w:type="spellEnd"/>
            <w:r w:rsidRPr="00A94C62">
              <w:rPr>
                <w:rFonts w:ascii="Arial" w:hAnsi="Arial" w:cs="Arial"/>
                <w:sz w:val="20"/>
                <w:szCs w:val="20"/>
                <w:lang w:val="es-ES"/>
              </w:rPr>
              <w:t xml:space="preserve"> y los otros aspectos técnicos serán iguales a los de la sobretasa de la gasolina, en lo que no sea expresamente definido para la sobretasa al ACPM.</w:t>
            </w:r>
          </w:p>
          <w:p w14:paraId="04F5FB44" w14:textId="77777777" w:rsidR="000F35EB" w:rsidRPr="00A94C62" w:rsidRDefault="000F35EB" w:rsidP="000F35EB">
            <w:pPr>
              <w:spacing w:line="276" w:lineRule="auto"/>
              <w:ind w:left="708"/>
              <w:jc w:val="both"/>
              <w:rPr>
                <w:rFonts w:ascii="Arial" w:hAnsi="Arial" w:cs="Arial"/>
                <w:sz w:val="20"/>
                <w:szCs w:val="20"/>
                <w:lang w:val="es-ES"/>
              </w:rPr>
            </w:pPr>
          </w:p>
          <w:p w14:paraId="1558606A" w14:textId="2C76F2C2" w:rsidR="00CF22BF" w:rsidRPr="00A94C62" w:rsidRDefault="000F35EB" w:rsidP="000A0C42">
            <w:pPr>
              <w:spacing w:line="276" w:lineRule="auto"/>
              <w:ind w:left="708"/>
              <w:jc w:val="both"/>
              <w:rPr>
                <w:rFonts w:ascii="Arial" w:hAnsi="Arial" w:cs="Arial"/>
                <w:sz w:val="20"/>
                <w:szCs w:val="20"/>
              </w:rPr>
            </w:pPr>
            <w:proofErr w:type="spellStart"/>
            <w:r w:rsidRPr="00A94C62">
              <w:rPr>
                <w:rFonts w:ascii="Arial" w:hAnsi="Arial" w:cs="Arial"/>
                <w:b/>
                <w:sz w:val="20"/>
                <w:szCs w:val="20"/>
                <w:lang w:val="es-ES"/>
              </w:rPr>
              <w:t>Parágrafo</w:t>
            </w:r>
            <w:proofErr w:type="spellEnd"/>
            <w:r w:rsidRPr="00A94C62">
              <w:rPr>
                <w:rFonts w:ascii="Arial" w:hAnsi="Arial" w:cs="Arial"/>
                <w:b/>
                <w:sz w:val="20"/>
                <w:szCs w:val="20"/>
                <w:lang w:val="es-ES"/>
              </w:rPr>
              <w:t xml:space="preserve"> transitorio</w:t>
            </w:r>
            <w:r w:rsidRPr="00A94C62">
              <w:rPr>
                <w:rFonts w:ascii="Arial" w:hAnsi="Arial" w:cs="Arial"/>
                <w:sz w:val="20"/>
                <w:szCs w:val="20"/>
                <w:lang w:val="es-ES"/>
              </w:rPr>
              <w:t xml:space="preserve">. Las condiciones de distribución de la sobretasa al ACPM dispuestas en el inciso segundo de este artículo entrarán en vigencia a partir del 1 de enero de 2022. Las disposiciones contenidas en el artículo 8 del Decreto </w:t>
            </w:r>
            <w:r w:rsidRPr="00A94C62">
              <w:rPr>
                <w:rFonts w:ascii="Arial" w:hAnsi="Arial" w:cs="Arial"/>
                <w:sz w:val="20"/>
                <w:szCs w:val="20"/>
                <w:lang w:val="es-ES"/>
              </w:rPr>
              <w:lastRenderedPageBreak/>
              <w:t>Legislativo 678 de 2020 permanecerán vigentes hasta que se cumpla el plazo allí establecido, esto es, hasta el periodo gravable diciembre de 2021.</w:t>
            </w:r>
          </w:p>
        </w:tc>
        <w:tc>
          <w:tcPr>
            <w:tcW w:w="3402" w:type="dxa"/>
          </w:tcPr>
          <w:p w14:paraId="009FA494" w14:textId="471D62D4" w:rsidR="009C6A74" w:rsidRPr="00A94C62" w:rsidRDefault="009C6A74" w:rsidP="009C6A74">
            <w:pPr>
              <w:keepNext/>
              <w:widowControl w:val="0"/>
              <w:tabs>
                <w:tab w:val="left" w:pos="1560"/>
              </w:tabs>
              <w:spacing w:line="276" w:lineRule="auto"/>
              <w:jc w:val="both"/>
              <w:rPr>
                <w:rFonts w:ascii="Arial" w:hAnsi="Arial" w:cs="Arial"/>
                <w:sz w:val="20"/>
                <w:szCs w:val="20"/>
                <w:lang w:val="es-ES"/>
              </w:rPr>
            </w:pPr>
            <w:r w:rsidRPr="00A94C62">
              <w:rPr>
                <w:rFonts w:ascii="Arial" w:hAnsi="Arial" w:cs="Arial"/>
                <w:b/>
                <w:bCs/>
                <w:sz w:val="20"/>
                <w:szCs w:val="20"/>
              </w:rPr>
              <w:lastRenderedPageBreak/>
              <w:t xml:space="preserve">ARTÍCULO 1. </w:t>
            </w:r>
            <w:r w:rsidRPr="00A94C62">
              <w:rPr>
                <w:rFonts w:ascii="Arial" w:hAnsi="Arial" w:cs="Arial"/>
                <w:sz w:val="20"/>
                <w:szCs w:val="20"/>
                <w:lang w:val="es-ES"/>
              </w:rPr>
              <w:t>Modifíquese el artículo 117 de la Ley 488 de 1998, el cual quedará así:</w:t>
            </w:r>
          </w:p>
          <w:p w14:paraId="077971C3" w14:textId="77777777" w:rsidR="009C6A74" w:rsidRPr="00A94C62" w:rsidRDefault="009C6A74" w:rsidP="009C6A74">
            <w:pPr>
              <w:pStyle w:val="Prrafodelista"/>
              <w:keepNext/>
              <w:widowControl w:val="0"/>
              <w:tabs>
                <w:tab w:val="left" w:pos="1560"/>
              </w:tabs>
              <w:spacing w:line="276" w:lineRule="auto"/>
              <w:ind w:left="0"/>
              <w:jc w:val="both"/>
              <w:rPr>
                <w:rFonts w:ascii="Arial" w:hAnsi="Arial" w:cs="Arial"/>
                <w:sz w:val="20"/>
                <w:szCs w:val="20"/>
                <w:lang w:val="es-ES"/>
              </w:rPr>
            </w:pPr>
          </w:p>
          <w:p w14:paraId="590DF335" w14:textId="001F5EBB" w:rsidR="009C6A74" w:rsidRPr="00A94C62" w:rsidRDefault="009C6A74" w:rsidP="009C6A74">
            <w:pPr>
              <w:pStyle w:val="pa23"/>
              <w:spacing w:before="0" w:beforeAutospacing="0" w:after="0" w:afterAutospacing="0" w:line="276" w:lineRule="auto"/>
              <w:ind w:left="708"/>
              <w:jc w:val="both"/>
              <w:rPr>
                <w:rFonts w:ascii="Arial" w:eastAsiaTheme="minorHAnsi" w:hAnsi="Arial" w:cs="Arial"/>
                <w:sz w:val="20"/>
                <w:szCs w:val="20"/>
                <w:lang w:val="es-ES" w:eastAsia="en-US"/>
              </w:rPr>
            </w:pPr>
            <w:r w:rsidRPr="00A94C62">
              <w:rPr>
                <w:rFonts w:ascii="Arial" w:eastAsiaTheme="minorHAnsi" w:hAnsi="Arial" w:cs="Arial"/>
                <w:b/>
                <w:sz w:val="20"/>
                <w:szCs w:val="20"/>
                <w:lang w:val="es-ES" w:eastAsia="en-US"/>
              </w:rPr>
              <w:t>ARTÍCULO 117</w:t>
            </w:r>
            <w:r w:rsidR="00313A0C" w:rsidRPr="00A94C62">
              <w:rPr>
                <w:rFonts w:ascii="Arial" w:eastAsiaTheme="minorHAnsi" w:hAnsi="Arial" w:cs="Arial"/>
                <w:b/>
                <w:sz w:val="20"/>
                <w:szCs w:val="20"/>
                <w:lang w:val="es-ES" w:eastAsia="en-US"/>
              </w:rPr>
              <w:t>°</w:t>
            </w:r>
            <w:r w:rsidRPr="00A94C62">
              <w:rPr>
                <w:rFonts w:ascii="Arial" w:eastAsiaTheme="minorHAnsi" w:hAnsi="Arial" w:cs="Arial"/>
                <w:b/>
                <w:sz w:val="20"/>
                <w:szCs w:val="20"/>
                <w:lang w:val="es-ES" w:eastAsia="en-US"/>
              </w:rPr>
              <w:t>. Sobretasa a la gasolina motor y al ACPM.</w:t>
            </w:r>
            <w:r w:rsidRPr="00A94C62">
              <w:rPr>
                <w:rFonts w:ascii="Arial" w:eastAsiaTheme="minorHAnsi" w:hAnsi="Arial" w:cs="Arial"/>
                <w:sz w:val="20"/>
                <w:szCs w:val="20"/>
                <w:lang w:val="es-ES" w:eastAsia="en-US"/>
              </w:rPr>
              <w:t xml:space="preserve"> Autorícese a los municipios, distritos y departamentos, para adoptar la sobretasa a la gasolina motor extra y corriente, en las condiciones establecidas en la presente ley.</w:t>
            </w:r>
          </w:p>
          <w:p w14:paraId="07383025" w14:textId="77777777" w:rsidR="009C6A74" w:rsidRPr="00A94C62" w:rsidRDefault="009C6A74" w:rsidP="009C6A74">
            <w:pPr>
              <w:pStyle w:val="pa23"/>
              <w:spacing w:before="0" w:beforeAutospacing="0" w:after="0" w:afterAutospacing="0" w:line="276" w:lineRule="auto"/>
              <w:ind w:left="708"/>
              <w:jc w:val="both"/>
              <w:rPr>
                <w:rFonts w:ascii="Arial" w:eastAsiaTheme="minorHAnsi" w:hAnsi="Arial" w:cs="Arial"/>
                <w:sz w:val="20"/>
                <w:szCs w:val="20"/>
                <w:lang w:val="es-ES" w:eastAsia="en-US"/>
              </w:rPr>
            </w:pPr>
          </w:p>
          <w:p w14:paraId="119BA089" w14:textId="77777777" w:rsidR="009C6A74" w:rsidRPr="00A94C62" w:rsidRDefault="009C6A74" w:rsidP="009C6A74">
            <w:pPr>
              <w:spacing w:line="276" w:lineRule="auto"/>
              <w:ind w:left="708"/>
              <w:jc w:val="both"/>
              <w:rPr>
                <w:rFonts w:ascii="Arial" w:hAnsi="Arial" w:cs="Arial"/>
                <w:sz w:val="20"/>
                <w:szCs w:val="20"/>
                <w:lang w:val="es-ES"/>
              </w:rPr>
            </w:pPr>
            <w:r w:rsidRPr="00A94C62">
              <w:rPr>
                <w:rFonts w:ascii="Arial" w:hAnsi="Arial" w:cs="Arial"/>
                <w:sz w:val="20"/>
                <w:szCs w:val="20"/>
                <w:lang w:val="es-ES"/>
              </w:rPr>
              <w:t xml:space="preserve">Créase como contribución nacional la sobretasa al ACPM. La sobretasa al ACPM </w:t>
            </w:r>
            <w:r w:rsidRPr="00A94C62" w:rsidDel="00C33A6D">
              <w:rPr>
                <w:rFonts w:ascii="Arial" w:hAnsi="Arial" w:cs="Arial"/>
                <w:sz w:val="20"/>
                <w:szCs w:val="20"/>
                <w:lang w:val="es-ES"/>
              </w:rPr>
              <w:t xml:space="preserve">será </w:t>
            </w:r>
            <w:r w:rsidRPr="00A94C62">
              <w:rPr>
                <w:rFonts w:ascii="Arial" w:hAnsi="Arial" w:cs="Arial"/>
                <w:sz w:val="20"/>
                <w:szCs w:val="20"/>
                <w:lang w:val="es-ES"/>
              </w:rPr>
              <w:t xml:space="preserve">cobrada por la Nación y distribuida en un cincuenta por ciento (50%) para el mantenimiento de la red vial nacional y otro cincuenta por ciento (50%) para los departamentos incluido el Distrito Capital con destino al mantenimiento de la red vial. La base gravable, el hecho generador, la declaración, el pago, la </w:t>
            </w:r>
            <w:proofErr w:type="spellStart"/>
            <w:r w:rsidRPr="00A94C62">
              <w:rPr>
                <w:rFonts w:ascii="Arial" w:hAnsi="Arial" w:cs="Arial"/>
                <w:sz w:val="20"/>
                <w:szCs w:val="20"/>
                <w:lang w:val="es-ES"/>
              </w:rPr>
              <w:t>causación</w:t>
            </w:r>
            <w:proofErr w:type="spellEnd"/>
            <w:r w:rsidRPr="00A94C62">
              <w:rPr>
                <w:rFonts w:ascii="Arial" w:hAnsi="Arial" w:cs="Arial"/>
                <w:sz w:val="20"/>
                <w:szCs w:val="20"/>
                <w:lang w:val="es-ES"/>
              </w:rPr>
              <w:t xml:space="preserve"> y los otros aspectos técnicos serán iguales a los de la sobretasa de la gasolina, en lo que no sea expresamente definido para la sobretasa al ACPM.</w:t>
            </w:r>
          </w:p>
          <w:p w14:paraId="1A6A57E0" w14:textId="77777777" w:rsidR="009C6A74" w:rsidRPr="00A94C62" w:rsidRDefault="009C6A74" w:rsidP="009C6A74">
            <w:pPr>
              <w:spacing w:line="276" w:lineRule="auto"/>
              <w:ind w:left="708"/>
              <w:jc w:val="both"/>
              <w:rPr>
                <w:rFonts w:ascii="Arial" w:hAnsi="Arial" w:cs="Arial"/>
                <w:sz w:val="20"/>
                <w:szCs w:val="20"/>
                <w:lang w:val="es-ES"/>
              </w:rPr>
            </w:pPr>
          </w:p>
          <w:p w14:paraId="7A7789D6" w14:textId="22970264" w:rsidR="00CF22BF" w:rsidRPr="00A94C62" w:rsidRDefault="009C6A74" w:rsidP="00313A0C">
            <w:pPr>
              <w:spacing w:line="276" w:lineRule="auto"/>
              <w:ind w:left="708"/>
              <w:jc w:val="both"/>
              <w:rPr>
                <w:rFonts w:ascii="Arial" w:hAnsi="Arial" w:cs="Arial"/>
                <w:sz w:val="20"/>
                <w:szCs w:val="20"/>
                <w:lang w:val="es-ES"/>
              </w:rPr>
            </w:pPr>
            <w:r w:rsidRPr="00A94C62">
              <w:rPr>
                <w:rFonts w:ascii="Arial" w:hAnsi="Arial" w:cs="Arial"/>
                <w:b/>
                <w:sz w:val="20"/>
                <w:szCs w:val="20"/>
                <w:lang w:val="es-ES"/>
              </w:rPr>
              <w:t>Parágrafo transitorio</w:t>
            </w:r>
            <w:r w:rsidRPr="00A94C62">
              <w:rPr>
                <w:rFonts w:ascii="Arial" w:hAnsi="Arial" w:cs="Arial"/>
                <w:sz w:val="20"/>
                <w:szCs w:val="20"/>
                <w:lang w:val="es-ES"/>
              </w:rPr>
              <w:t xml:space="preserve">. Las condiciones de distribución de la sobretasa al ACPM dispuestas en el inciso segundo de este artículo entrarán en vigencia a partir del 1 de enero de 2022. Las disposiciones contenidas en el artículo 8 del Decreto </w:t>
            </w:r>
            <w:r w:rsidRPr="00A94C62">
              <w:rPr>
                <w:rFonts w:ascii="Arial" w:hAnsi="Arial" w:cs="Arial"/>
                <w:sz w:val="20"/>
                <w:szCs w:val="20"/>
                <w:lang w:val="es-ES"/>
              </w:rPr>
              <w:lastRenderedPageBreak/>
              <w:t>Legislativo 678 de 2020 permanecerán vigentes hasta que se cumpla el plazo allí establecido, esto es, hasta el periodo gravable diciembre de 2021.</w:t>
            </w:r>
          </w:p>
        </w:tc>
        <w:tc>
          <w:tcPr>
            <w:tcW w:w="2127" w:type="dxa"/>
          </w:tcPr>
          <w:p w14:paraId="56EFD3F2" w14:textId="30829CDE" w:rsidR="00CF22BF" w:rsidRPr="00A94C62" w:rsidRDefault="00FB5C89" w:rsidP="00CF22BF">
            <w:pPr>
              <w:pStyle w:val="NormalWeb"/>
              <w:spacing w:after="0"/>
              <w:jc w:val="both"/>
              <w:rPr>
                <w:rFonts w:ascii="Arial" w:hAnsi="Arial" w:cs="Arial"/>
                <w:sz w:val="20"/>
                <w:szCs w:val="20"/>
              </w:rPr>
            </w:pPr>
            <w:r w:rsidRPr="00A94C62">
              <w:rPr>
                <w:rFonts w:ascii="Arial" w:hAnsi="Arial" w:cs="Arial"/>
                <w:sz w:val="20"/>
                <w:szCs w:val="20"/>
              </w:rPr>
              <w:lastRenderedPageBreak/>
              <w:t>El texto fue aprobado de manera idéntica por la Plenaria de la Cámara de Representantes y de</w:t>
            </w:r>
            <w:r w:rsidR="00F33808" w:rsidRPr="00A94C62">
              <w:rPr>
                <w:rFonts w:ascii="Arial" w:hAnsi="Arial" w:cs="Arial"/>
                <w:sz w:val="20"/>
                <w:szCs w:val="20"/>
              </w:rPr>
              <w:t>l</w:t>
            </w:r>
            <w:r w:rsidRPr="00A94C62">
              <w:rPr>
                <w:rFonts w:ascii="Arial" w:hAnsi="Arial" w:cs="Arial"/>
                <w:sz w:val="20"/>
                <w:szCs w:val="20"/>
              </w:rPr>
              <w:t xml:space="preserve"> Senado</w:t>
            </w:r>
            <w:r w:rsidR="00F33808" w:rsidRPr="00A94C62">
              <w:rPr>
                <w:rFonts w:ascii="Arial" w:hAnsi="Arial" w:cs="Arial"/>
                <w:sz w:val="20"/>
                <w:szCs w:val="20"/>
              </w:rPr>
              <w:t xml:space="preserve"> de la República</w:t>
            </w:r>
          </w:p>
        </w:tc>
      </w:tr>
      <w:tr w:rsidR="00BA3344" w:rsidRPr="00A94C62" w14:paraId="278255D3" w14:textId="77777777" w:rsidTr="00F7648C">
        <w:trPr>
          <w:trHeight w:val="510"/>
        </w:trPr>
        <w:tc>
          <w:tcPr>
            <w:tcW w:w="3397" w:type="dxa"/>
            <w:vMerge w:val="restart"/>
            <w:hideMark/>
          </w:tcPr>
          <w:p w14:paraId="175CEF97" w14:textId="77777777" w:rsidR="000F35EB" w:rsidRPr="00A94C62" w:rsidRDefault="000F35EB" w:rsidP="000F35EB">
            <w:pPr>
              <w:pStyle w:val="Prrafodelista"/>
              <w:keepNext/>
              <w:widowControl w:val="0"/>
              <w:tabs>
                <w:tab w:val="left" w:pos="1560"/>
              </w:tabs>
              <w:spacing w:line="276" w:lineRule="auto"/>
              <w:ind w:left="0"/>
              <w:jc w:val="both"/>
              <w:rPr>
                <w:rFonts w:ascii="Arial" w:hAnsi="Arial" w:cs="Arial"/>
                <w:sz w:val="20"/>
                <w:szCs w:val="20"/>
                <w:lang w:val="es-ES"/>
              </w:rPr>
            </w:pPr>
            <w:r w:rsidRPr="00A94C62">
              <w:rPr>
                <w:rFonts w:ascii="Arial" w:hAnsi="Arial" w:cs="Arial"/>
                <w:b/>
                <w:bCs/>
                <w:sz w:val="20"/>
                <w:szCs w:val="20"/>
                <w:lang w:val="es-ES"/>
              </w:rPr>
              <w:t>ARTÍCULO 2.</w:t>
            </w:r>
            <w:r w:rsidRPr="00A94C62">
              <w:rPr>
                <w:rFonts w:ascii="Arial" w:hAnsi="Arial" w:cs="Arial"/>
                <w:sz w:val="20"/>
                <w:szCs w:val="20"/>
                <w:lang w:val="es-ES"/>
              </w:rPr>
              <w:t xml:space="preserve"> Adiciónese el artículo 121A a la Ley 488 de 1998, así:</w:t>
            </w:r>
          </w:p>
          <w:p w14:paraId="63602502" w14:textId="77777777" w:rsidR="000F35EB" w:rsidRPr="00A94C62" w:rsidRDefault="000F35EB" w:rsidP="000F35EB">
            <w:pPr>
              <w:pStyle w:val="Prrafodelista"/>
              <w:keepNext/>
              <w:widowControl w:val="0"/>
              <w:tabs>
                <w:tab w:val="left" w:pos="1560"/>
              </w:tabs>
              <w:spacing w:line="276" w:lineRule="auto"/>
              <w:ind w:left="0"/>
              <w:jc w:val="both"/>
              <w:rPr>
                <w:rFonts w:ascii="Arial" w:hAnsi="Arial" w:cs="Arial"/>
                <w:sz w:val="20"/>
                <w:szCs w:val="20"/>
                <w:lang w:val="es-ES"/>
              </w:rPr>
            </w:pPr>
          </w:p>
          <w:p w14:paraId="7A789D8E" w14:textId="77777777" w:rsidR="000F35EB" w:rsidRPr="00A94C62" w:rsidRDefault="000F35EB" w:rsidP="000F35EB">
            <w:pPr>
              <w:spacing w:line="276" w:lineRule="auto"/>
              <w:ind w:left="708"/>
              <w:jc w:val="both"/>
              <w:rPr>
                <w:rFonts w:ascii="Arial" w:hAnsi="Arial" w:cs="Arial"/>
                <w:sz w:val="20"/>
                <w:szCs w:val="20"/>
                <w:lang w:val="es-ES"/>
              </w:rPr>
            </w:pPr>
            <w:r w:rsidRPr="00A94C62">
              <w:rPr>
                <w:rFonts w:ascii="Arial" w:hAnsi="Arial" w:cs="Arial"/>
                <w:b/>
                <w:sz w:val="20"/>
                <w:szCs w:val="20"/>
                <w:lang w:val="es-ES"/>
              </w:rPr>
              <w:t>ARTÍCULO 121A. Base gravable.</w:t>
            </w:r>
            <w:r w:rsidRPr="00A94C62">
              <w:rPr>
                <w:rFonts w:ascii="Arial" w:hAnsi="Arial" w:cs="Arial"/>
                <w:sz w:val="20"/>
                <w:szCs w:val="20"/>
                <w:lang w:val="es-ES"/>
              </w:rPr>
              <w:t xml:space="preserve"> La base gravable de la sobretasa a la gasolina motor tanto extra como corriente, y de la sobretasa al ACPM, será el volumen del respectivo producto expresado en galones.</w:t>
            </w:r>
          </w:p>
          <w:p w14:paraId="00415D01" w14:textId="77777777" w:rsidR="000F35EB" w:rsidRPr="00A94C62" w:rsidRDefault="000F35EB" w:rsidP="000F35EB">
            <w:pPr>
              <w:spacing w:line="276" w:lineRule="auto"/>
              <w:ind w:left="708"/>
              <w:jc w:val="both"/>
              <w:rPr>
                <w:rFonts w:ascii="Arial" w:hAnsi="Arial" w:cs="Arial"/>
                <w:sz w:val="20"/>
                <w:szCs w:val="20"/>
                <w:lang w:val="es-ES"/>
              </w:rPr>
            </w:pPr>
          </w:p>
          <w:p w14:paraId="6699B21F" w14:textId="6F0EC103" w:rsidR="000F35EB" w:rsidRPr="00A94C62" w:rsidRDefault="000F35EB" w:rsidP="000F35EB">
            <w:pPr>
              <w:spacing w:line="276" w:lineRule="auto"/>
              <w:ind w:left="708"/>
              <w:jc w:val="both"/>
              <w:rPr>
                <w:rFonts w:ascii="Arial" w:hAnsi="Arial" w:cs="Arial"/>
                <w:sz w:val="20"/>
                <w:szCs w:val="20"/>
                <w:lang w:val="es-ES"/>
              </w:rPr>
            </w:pPr>
            <w:r w:rsidRPr="00A94C62">
              <w:rPr>
                <w:rFonts w:ascii="Arial" w:hAnsi="Arial" w:cs="Arial"/>
                <w:sz w:val="20"/>
                <w:szCs w:val="20"/>
                <w:lang w:val="es-ES"/>
              </w:rPr>
              <w:t xml:space="preserve">Para la base gravable de la gasolina motor corriente y extra oxigenadas, no se incluirá el alcohol carburante en cumplimiento con la exención del artículo 88 de la Ley 788 de 2002. </w:t>
            </w:r>
          </w:p>
          <w:p w14:paraId="05C75E98" w14:textId="0D58EEEC" w:rsidR="00CF22BF" w:rsidRPr="00A94C62" w:rsidRDefault="00CF22BF" w:rsidP="00FD29B4">
            <w:pPr>
              <w:pStyle w:val="NormalWeb"/>
              <w:spacing w:after="0"/>
              <w:ind w:left="306"/>
              <w:jc w:val="both"/>
              <w:rPr>
                <w:rFonts w:ascii="Arial" w:hAnsi="Arial" w:cs="Arial"/>
                <w:sz w:val="20"/>
                <w:szCs w:val="20"/>
                <w:lang w:val="es-ES"/>
              </w:rPr>
            </w:pPr>
          </w:p>
        </w:tc>
        <w:tc>
          <w:tcPr>
            <w:tcW w:w="3402" w:type="dxa"/>
            <w:vMerge w:val="restart"/>
            <w:hideMark/>
          </w:tcPr>
          <w:p w14:paraId="5B90B508" w14:textId="36E7EB59" w:rsidR="009C6A74" w:rsidRPr="00A94C62" w:rsidRDefault="009C6A74" w:rsidP="009C6A74">
            <w:pPr>
              <w:pStyle w:val="Prrafodelista"/>
              <w:keepNext/>
              <w:widowControl w:val="0"/>
              <w:tabs>
                <w:tab w:val="left" w:pos="1560"/>
              </w:tabs>
              <w:spacing w:line="276" w:lineRule="auto"/>
              <w:ind w:left="0"/>
              <w:jc w:val="both"/>
              <w:rPr>
                <w:rFonts w:ascii="Arial" w:hAnsi="Arial" w:cs="Arial"/>
                <w:sz w:val="20"/>
                <w:szCs w:val="20"/>
                <w:lang w:val="es-ES"/>
              </w:rPr>
            </w:pPr>
            <w:r w:rsidRPr="00A94C62">
              <w:rPr>
                <w:rFonts w:ascii="Arial" w:hAnsi="Arial" w:cs="Arial"/>
                <w:b/>
                <w:bCs/>
                <w:sz w:val="20"/>
                <w:szCs w:val="20"/>
                <w:lang w:val="es-ES"/>
              </w:rPr>
              <w:t>ARTÍCULO 2.</w:t>
            </w:r>
            <w:r w:rsidRPr="00A94C62">
              <w:rPr>
                <w:rFonts w:ascii="Arial" w:hAnsi="Arial" w:cs="Arial"/>
                <w:sz w:val="20"/>
                <w:szCs w:val="20"/>
                <w:lang w:val="es-ES"/>
              </w:rPr>
              <w:t xml:space="preserve"> Adiciónese el artículo 121A a la Ley 488 de 1998, así:</w:t>
            </w:r>
          </w:p>
          <w:p w14:paraId="597DEA24" w14:textId="77777777" w:rsidR="009C6A74" w:rsidRPr="00A94C62" w:rsidRDefault="009C6A74" w:rsidP="009C6A74">
            <w:pPr>
              <w:pStyle w:val="Prrafodelista"/>
              <w:keepNext/>
              <w:widowControl w:val="0"/>
              <w:tabs>
                <w:tab w:val="left" w:pos="1560"/>
              </w:tabs>
              <w:spacing w:line="276" w:lineRule="auto"/>
              <w:ind w:left="0"/>
              <w:jc w:val="both"/>
              <w:rPr>
                <w:rFonts w:ascii="Arial" w:hAnsi="Arial" w:cs="Arial"/>
                <w:sz w:val="20"/>
                <w:szCs w:val="20"/>
                <w:lang w:val="es-ES"/>
              </w:rPr>
            </w:pPr>
          </w:p>
          <w:p w14:paraId="39E2D5ED" w14:textId="77777777" w:rsidR="0039099C" w:rsidRPr="00A94C62" w:rsidRDefault="0039099C" w:rsidP="0039099C">
            <w:pPr>
              <w:spacing w:line="276" w:lineRule="auto"/>
              <w:ind w:left="708"/>
              <w:jc w:val="both"/>
              <w:rPr>
                <w:rFonts w:ascii="Arial" w:hAnsi="Arial" w:cs="Arial"/>
                <w:sz w:val="20"/>
                <w:szCs w:val="20"/>
                <w:lang w:val="es-ES"/>
              </w:rPr>
            </w:pPr>
            <w:r w:rsidRPr="00A94C62">
              <w:rPr>
                <w:rFonts w:ascii="Arial" w:hAnsi="Arial" w:cs="Arial"/>
                <w:b/>
                <w:sz w:val="20"/>
                <w:szCs w:val="20"/>
                <w:lang w:val="es-ES"/>
              </w:rPr>
              <w:t>ARTÍCULO 121A. Base gravable.</w:t>
            </w:r>
            <w:r w:rsidRPr="00A94C62">
              <w:rPr>
                <w:rFonts w:ascii="Arial" w:hAnsi="Arial" w:cs="Arial"/>
                <w:sz w:val="20"/>
                <w:szCs w:val="20"/>
                <w:lang w:val="es-ES"/>
              </w:rPr>
              <w:t xml:space="preserve"> La base gravable de la sobretasa a la gasolina motor tanto extra como corriente, y de la sobretasa al ACPM, será el volumen del respectivo producto expresado en galones.</w:t>
            </w:r>
          </w:p>
          <w:p w14:paraId="7940DF66" w14:textId="77777777" w:rsidR="009C6A74" w:rsidRPr="00A94C62" w:rsidRDefault="009C6A74" w:rsidP="009C6A74">
            <w:pPr>
              <w:spacing w:line="276" w:lineRule="auto"/>
              <w:ind w:left="708"/>
              <w:jc w:val="both"/>
              <w:rPr>
                <w:rFonts w:ascii="Arial" w:hAnsi="Arial" w:cs="Arial"/>
                <w:sz w:val="20"/>
                <w:szCs w:val="20"/>
                <w:lang w:val="es-ES"/>
              </w:rPr>
            </w:pPr>
          </w:p>
          <w:p w14:paraId="182C365B" w14:textId="77777777" w:rsidR="0039099C" w:rsidRDefault="0039099C" w:rsidP="009C6A74">
            <w:pPr>
              <w:spacing w:line="276" w:lineRule="auto"/>
              <w:ind w:left="708"/>
              <w:jc w:val="both"/>
              <w:rPr>
                <w:rFonts w:ascii="Arial" w:hAnsi="Arial" w:cs="Arial"/>
                <w:sz w:val="20"/>
                <w:szCs w:val="20"/>
                <w:lang w:val="es-ES"/>
              </w:rPr>
            </w:pPr>
          </w:p>
          <w:p w14:paraId="48C7352E" w14:textId="64512603" w:rsidR="009C6A74" w:rsidRPr="00A94C62" w:rsidRDefault="009C6A74" w:rsidP="009C6A74">
            <w:pPr>
              <w:spacing w:line="276" w:lineRule="auto"/>
              <w:ind w:left="708"/>
              <w:jc w:val="both"/>
              <w:rPr>
                <w:rFonts w:ascii="Arial" w:hAnsi="Arial" w:cs="Arial"/>
                <w:sz w:val="20"/>
                <w:szCs w:val="20"/>
                <w:lang w:val="es-ES"/>
              </w:rPr>
            </w:pPr>
            <w:r w:rsidRPr="00A94C62">
              <w:rPr>
                <w:rFonts w:ascii="Arial" w:hAnsi="Arial" w:cs="Arial"/>
                <w:sz w:val="20"/>
                <w:szCs w:val="20"/>
                <w:lang w:val="es-ES"/>
              </w:rPr>
              <w:t xml:space="preserve">Para la base gravable de la gasolina motor corriente y extra oxigenadas, no se incluirá el alcohol carburante en cumplimiento con la exención del artículo 88 de la Ley 788 de 2002. </w:t>
            </w:r>
          </w:p>
          <w:p w14:paraId="4C84A3FE" w14:textId="14F8F50B" w:rsidR="0056416A" w:rsidRPr="00A94C62" w:rsidRDefault="0056416A" w:rsidP="003D59B2">
            <w:pPr>
              <w:pStyle w:val="NormalWeb"/>
              <w:spacing w:after="0"/>
              <w:ind w:left="340"/>
              <w:jc w:val="both"/>
              <w:rPr>
                <w:rFonts w:ascii="Arial" w:hAnsi="Arial" w:cs="Arial"/>
                <w:sz w:val="20"/>
                <w:szCs w:val="20"/>
                <w:lang w:val="es-ES"/>
              </w:rPr>
            </w:pPr>
          </w:p>
        </w:tc>
        <w:tc>
          <w:tcPr>
            <w:tcW w:w="2127" w:type="dxa"/>
            <w:vMerge w:val="restart"/>
            <w:hideMark/>
          </w:tcPr>
          <w:p w14:paraId="179418A6" w14:textId="2ED8A452" w:rsidR="00CF22BF" w:rsidRPr="00A94C62" w:rsidRDefault="009C6A74" w:rsidP="00A94C62">
            <w:pPr>
              <w:pStyle w:val="NormalWeb"/>
              <w:spacing w:after="0"/>
              <w:jc w:val="both"/>
              <w:rPr>
                <w:rFonts w:ascii="Arial" w:hAnsi="Arial" w:cs="Arial"/>
                <w:b/>
                <w:bCs/>
                <w:sz w:val="20"/>
                <w:szCs w:val="20"/>
              </w:rPr>
            </w:pPr>
            <w:r w:rsidRPr="00A94C62">
              <w:rPr>
                <w:rFonts w:ascii="Arial" w:hAnsi="Arial" w:cs="Arial"/>
                <w:sz w:val="20"/>
                <w:szCs w:val="20"/>
              </w:rPr>
              <w:t>El texto fue aprobado de manera idéntica por la Plenaria de la Cámara de Representantes y del Senado de la República</w:t>
            </w:r>
          </w:p>
        </w:tc>
      </w:tr>
      <w:tr w:rsidR="00FB5C89" w:rsidRPr="00A94C62" w14:paraId="501A02B3" w14:textId="77777777" w:rsidTr="00F7648C">
        <w:trPr>
          <w:trHeight w:val="450"/>
        </w:trPr>
        <w:tc>
          <w:tcPr>
            <w:tcW w:w="3397" w:type="dxa"/>
            <w:vMerge/>
            <w:hideMark/>
          </w:tcPr>
          <w:p w14:paraId="4E2337FF" w14:textId="77777777" w:rsidR="00CF22BF" w:rsidRPr="00A94C62" w:rsidRDefault="00CF22BF" w:rsidP="00CF22BF">
            <w:pPr>
              <w:pStyle w:val="NormalWeb"/>
              <w:spacing w:after="0"/>
              <w:jc w:val="both"/>
              <w:rPr>
                <w:rFonts w:ascii="Arial" w:hAnsi="Arial" w:cs="Arial"/>
                <w:sz w:val="20"/>
                <w:szCs w:val="20"/>
              </w:rPr>
            </w:pPr>
          </w:p>
        </w:tc>
        <w:tc>
          <w:tcPr>
            <w:tcW w:w="3402" w:type="dxa"/>
            <w:vMerge/>
            <w:hideMark/>
          </w:tcPr>
          <w:p w14:paraId="38282241" w14:textId="77777777" w:rsidR="00CF22BF" w:rsidRPr="00A94C62" w:rsidRDefault="00CF22BF" w:rsidP="00CF22BF">
            <w:pPr>
              <w:pStyle w:val="NormalWeb"/>
              <w:spacing w:after="0"/>
              <w:jc w:val="both"/>
              <w:rPr>
                <w:rFonts w:ascii="Arial" w:hAnsi="Arial" w:cs="Arial"/>
                <w:sz w:val="20"/>
                <w:szCs w:val="20"/>
              </w:rPr>
            </w:pPr>
          </w:p>
        </w:tc>
        <w:tc>
          <w:tcPr>
            <w:tcW w:w="2127" w:type="dxa"/>
            <w:vMerge/>
            <w:hideMark/>
          </w:tcPr>
          <w:p w14:paraId="76B6F1AD" w14:textId="77777777" w:rsidR="00CF22BF" w:rsidRPr="00A94C62" w:rsidRDefault="00CF22BF" w:rsidP="00CF22BF">
            <w:pPr>
              <w:pStyle w:val="NormalWeb"/>
              <w:spacing w:after="0"/>
              <w:jc w:val="both"/>
              <w:rPr>
                <w:rFonts w:ascii="Arial" w:hAnsi="Arial" w:cs="Arial"/>
                <w:b/>
                <w:bCs/>
                <w:sz w:val="20"/>
                <w:szCs w:val="20"/>
              </w:rPr>
            </w:pPr>
          </w:p>
        </w:tc>
      </w:tr>
      <w:tr w:rsidR="00FB5C89" w:rsidRPr="00A94C62" w14:paraId="272B43F7" w14:textId="77777777" w:rsidTr="00F7648C">
        <w:trPr>
          <w:trHeight w:val="227"/>
        </w:trPr>
        <w:tc>
          <w:tcPr>
            <w:tcW w:w="3397" w:type="dxa"/>
          </w:tcPr>
          <w:p w14:paraId="633392C3" w14:textId="36D1D433" w:rsidR="000F35EB" w:rsidRPr="00A94C62" w:rsidRDefault="000F35EB" w:rsidP="000F35EB">
            <w:pPr>
              <w:keepNext/>
              <w:widowControl w:val="0"/>
              <w:tabs>
                <w:tab w:val="left" w:pos="1560"/>
              </w:tabs>
              <w:spacing w:line="276" w:lineRule="auto"/>
              <w:jc w:val="both"/>
              <w:rPr>
                <w:rFonts w:ascii="Arial" w:hAnsi="Arial" w:cs="Arial"/>
                <w:color w:val="000000" w:themeColor="text1"/>
                <w:sz w:val="20"/>
                <w:szCs w:val="20"/>
              </w:rPr>
            </w:pPr>
            <w:r w:rsidRPr="00A94C62">
              <w:rPr>
                <w:rFonts w:ascii="Arial" w:hAnsi="Arial" w:cs="Arial"/>
                <w:b/>
                <w:bCs/>
                <w:color w:val="000000" w:themeColor="text1"/>
                <w:sz w:val="20"/>
                <w:szCs w:val="20"/>
              </w:rPr>
              <w:lastRenderedPageBreak/>
              <w:t>ARTÍCULO 3.</w:t>
            </w:r>
            <w:r w:rsidRPr="00A94C62">
              <w:rPr>
                <w:rFonts w:ascii="Arial" w:hAnsi="Arial" w:cs="Arial"/>
                <w:color w:val="000000" w:themeColor="text1"/>
                <w:sz w:val="20"/>
                <w:szCs w:val="20"/>
              </w:rPr>
              <w:t xml:space="preserve"> Modifíquese el artículo 55 de la Ley 788 de 2002, el cual quedará así:</w:t>
            </w:r>
          </w:p>
          <w:p w14:paraId="257ADC65" w14:textId="77777777" w:rsidR="00CF22BF" w:rsidRPr="00A94C62" w:rsidRDefault="00CF22BF" w:rsidP="000F35EB">
            <w:pPr>
              <w:jc w:val="both"/>
              <w:rPr>
                <w:rFonts w:ascii="Arial" w:hAnsi="Arial" w:cs="Arial"/>
                <w:sz w:val="20"/>
                <w:szCs w:val="20"/>
              </w:rPr>
            </w:pPr>
          </w:p>
          <w:p w14:paraId="7565D20D" w14:textId="37F77A1C" w:rsidR="000F35EB" w:rsidRPr="00A94C62" w:rsidRDefault="000F35EB" w:rsidP="000F35EB">
            <w:pPr>
              <w:spacing w:line="276" w:lineRule="auto"/>
              <w:ind w:left="708"/>
              <w:jc w:val="both"/>
              <w:rPr>
                <w:rFonts w:ascii="Arial" w:hAnsi="Arial" w:cs="Arial"/>
                <w:color w:val="000000" w:themeColor="text1"/>
                <w:sz w:val="20"/>
                <w:szCs w:val="20"/>
              </w:rPr>
            </w:pPr>
            <w:r w:rsidRPr="00A94C62">
              <w:rPr>
                <w:rFonts w:ascii="Arial" w:hAnsi="Arial" w:cs="Arial"/>
                <w:b/>
                <w:bCs/>
                <w:color w:val="000000" w:themeColor="text1"/>
                <w:sz w:val="20"/>
                <w:szCs w:val="20"/>
              </w:rPr>
              <w:t>ARTÍCULO 55. Tarifas</w:t>
            </w:r>
            <w:r w:rsidRPr="00A94C62">
              <w:rPr>
                <w:rFonts w:ascii="Arial" w:hAnsi="Arial" w:cs="Arial"/>
                <w:color w:val="000000" w:themeColor="text1"/>
                <w:sz w:val="20"/>
                <w:szCs w:val="20"/>
              </w:rPr>
              <w:t>. Las tarifas de la sobretasa a la gasolina y de la sobretasa al ACPM, por galón, serán las siguientes:</w:t>
            </w:r>
          </w:p>
          <w:p w14:paraId="5E382FA9" w14:textId="77777777" w:rsidR="000F35EB" w:rsidRPr="00A94C62" w:rsidRDefault="000F35EB" w:rsidP="000F35EB">
            <w:pPr>
              <w:spacing w:line="276" w:lineRule="auto"/>
              <w:ind w:left="708"/>
              <w:jc w:val="both"/>
              <w:rPr>
                <w:rFonts w:ascii="Arial" w:hAnsi="Arial" w:cs="Arial"/>
                <w:color w:val="000000" w:themeColor="text1"/>
                <w:sz w:val="20"/>
                <w:szCs w:val="20"/>
              </w:rPr>
            </w:pPr>
          </w:p>
          <w:p w14:paraId="2C8958D0" w14:textId="2F16AE0E" w:rsidR="000F35EB" w:rsidRPr="00A94C62" w:rsidRDefault="000F35EB" w:rsidP="000F35EB">
            <w:pPr>
              <w:spacing w:line="276" w:lineRule="auto"/>
              <w:ind w:left="708"/>
              <w:jc w:val="both"/>
              <w:rPr>
                <w:rFonts w:ascii="Arial" w:hAnsi="Arial" w:cs="Arial"/>
                <w:color w:val="000000" w:themeColor="text1"/>
                <w:sz w:val="20"/>
                <w:szCs w:val="20"/>
              </w:rPr>
            </w:pPr>
            <w:r w:rsidRPr="00A94C62">
              <w:rPr>
                <w:rFonts w:ascii="Arial" w:hAnsi="Arial" w:cs="Arial"/>
                <w:color w:val="000000" w:themeColor="text1"/>
                <w:sz w:val="20"/>
                <w:szCs w:val="20"/>
              </w:rPr>
              <w:t>a. Sobretasa a la gasolina</w:t>
            </w:r>
          </w:p>
          <w:p w14:paraId="79842EF3" w14:textId="77777777" w:rsidR="000F35EB" w:rsidRPr="00A94C62" w:rsidRDefault="000F35EB" w:rsidP="000F35EB">
            <w:pPr>
              <w:spacing w:line="276" w:lineRule="auto"/>
              <w:jc w:val="both"/>
              <w:rPr>
                <w:rFonts w:ascii="Arial" w:hAnsi="Arial" w:cs="Arial"/>
                <w:color w:val="000000" w:themeColor="text1"/>
                <w:sz w:val="20"/>
                <w:szCs w:val="20"/>
              </w:rPr>
            </w:pPr>
          </w:p>
          <w:p w14:paraId="0B49B457" w14:textId="77777777" w:rsidR="000F35EB" w:rsidRPr="00A94C62" w:rsidRDefault="000F35EB" w:rsidP="000F35EB">
            <w:pPr>
              <w:jc w:val="both"/>
              <w:rPr>
                <w:rFonts w:ascii="Arial" w:hAnsi="Arial" w:cs="Arial"/>
                <w:sz w:val="20"/>
                <w:szCs w:val="20"/>
              </w:rPr>
            </w:pPr>
            <w:r w:rsidRPr="00A94C62">
              <w:rPr>
                <w:rFonts w:ascii="Arial" w:hAnsi="Arial" w:cs="Arial"/>
                <w:noProof/>
                <w:color w:val="000000" w:themeColor="text1"/>
                <w:sz w:val="20"/>
                <w:szCs w:val="20"/>
              </w:rPr>
              <w:drawing>
                <wp:inline distT="0" distB="0" distL="0" distR="0" wp14:anchorId="0B6635DE" wp14:editId="6B2D40EA">
                  <wp:extent cx="1908590" cy="63533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8948" t="46381" r="29243" b="28861"/>
                          <a:stretch/>
                        </pic:blipFill>
                        <pic:spPr bwMode="auto">
                          <a:xfrm>
                            <a:off x="0" y="0"/>
                            <a:ext cx="1910334" cy="635911"/>
                          </a:xfrm>
                          <a:prstGeom prst="rect">
                            <a:avLst/>
                          </a:prstGeom>
                          <a:ln>
                            <a:noFill/>
                          </a:ln>
                          <a:extLst>
                            <a:ext uri="{53640926-AAD7-44D8-BBD7-CCE9431645EC}">
                              <a14:shadowObscured xmlns:a14="http://schemas.microsoft.com/office/drawing/2010/main"/>
                            </a:ext>
                          </a:extLst>
                        </pic:spPr>
                      </pic:pic>
                    </a:graphicData>
                  </a:graphic>
                </wp:inline>
              </w:drawing>
            </w:r>
          </w:p>
          <w:p w14:paraId="0F75806C" w14:textId="77777777" w:rsidR="000F35EB" w:rsidRPr="00A94C62" w:rsidRDefault="000F35EB" w:rsidP="000F35EB">
            <w:pPr>
              <w:spacing w:line="276" w:lineRule="auto"/>
              <w:jc w:val="both"/>
              <w:rPr>
                <w:rFonts w:ascii="Arial" w:hAnsi="Arial" w:cs="Arial"/>
                <w:color w:val="000000" w:themeColor="text1"/>
                <w:sz w:val="20"/>
                <w:szCs w:val="20"/>
              </w:rPr>
            </w:pPr>
          </w:p>
          <w:p w14:paraId="29CC6961" w14:textId="77777777" w:rsidR="000F35EB" w:rsidRPr="00A94C62" w:rsidRDefault="000F35EB" w:rsidP="000F35EB">
            <w:pPr>
              <w:spacing w:line="276" w:lineRule="auto"/>
              <w:ind w:left="708"/>
              <w:jc w:val="both"/>
              <w:rPr>
                <w:rFonts w:ascii="Arial" w:hAnsi="Arial" w:cs="Arial"/>
                <w:color w:val="000000" w:themeColor="text1"/>
                <w:sz w:val="20"/>
                <w:szCs w:val="20"/>
              </w:rPr>
            </w:pPr>
            <w:r w:rsidRPr="00A94C62">
              <w:rPr>
                <w:rFonts w:ascii="Arial" w:hAnsi="Arial" w:cs="Arial"/>
                <w:color w:val="000000" w:themeColor="text1"/>
                <w:sz w:val="20"/>
                <w:szCs w:val="20"/>
              </w:rPr>
              <w:t>b. Sobretasa al ACPM</w:t>
            </w:r>
          </w:p>
          <w:p w14:paraId="21F38648" w14:textId="77777777" w:rsidR="000F35EB" w:rsidRPr="00A94C62" w:rsidRDefault="000F35EB" w:rsidP="000F35EB">
            <w:pPr>
              <w:spacing w:line="276" w:lineRule="auto"/>
              <w:ind w:left="708"/>
              <w:jc w:val="both"/>
              <w:rPr>
                <w:rFonts w:ascii="Arial" w:hAnsi="Arial" w:cs="Arial"/>
                <w:color w:val="000000" w:themeColor="text1"/>
                <w:sz w:val="20"/>
                <w:szCs w:val="20"/>
              </w:rPr>
            </w:pPr>
          </w:p>
          <w:p w14:paraId="16733C0B" w14:textId="79C21D85" w:rsidR="000F35EB" w:rsidRPr="00A94C62" w:rsidRDefault="000F35EB" w:rsidP="000F35EB">
            <w:pPr>
              <w:spacing w:line="276" w:lineRule="auto"/>
              <w:ind w:left="708"/>
              <w:jc w:val="both"/>
              <w:rPr>
                <w:rFonts w:ascii="Arial" w:hAnsi="Arial" w:cs="Arial"/>
                <w:color w:val="000000" w:themeColor="text1"/>
                <w:sz w:val="20"/>
                <w:szCs w:val="20"/>
              </w:rPr>
            </w:pPr>
            <w:r w:rsidRPr="00A94C62">
              <w:rPr>
                <w:rFonts w:ascii="Arial" w:hAnsi="Arial" w:cs="Arial"/>
                <w:color w:val="000000" w:themeColor="text1"/>
                <w:sz w:val="20"/>
                <w:szCs w:val="20"/>
              </w:rPr>
              <w:t xml:space="preserve">La tarifa de la sobretasa al ACPM será de $301 pesos por galón. La sobretasa al ACPM para consumo en municipios zonas de frontera se liquidará con una tarifa de $204 por galón para el producto nacional y $114 por galón para el producto importado. </w:t>
            </w:r>
          </w:p>
          <w:p w14:paraId="5DD33B33" w14:textId="77777777" w:rsidR="000F35EB" w:rsidRPr="00A94C62" w:rsidRDefault="000F35EB" w:rsidP="000F35EB">
            <w:pPr>
              <w:spacing w:line="276" w:lineRule="auto"/>
              <w:ind w:left="708"/>
              <w:jc w:val="both"/>
              <w:rPr>
                <w:rFonts w:ascii="Arial" w:hAnsi="Arial" w:cs="Arial"/>
                <w:color w:val="000000" w:themeColor="text1"/>
                <w:sz w:val="20"/>
                <w:szCs w:val="20"/>
              </w:rPr>
            </w:pPr>
          </w:p>
          <w:p w14:paraId="0B92FF21" w14:textId="30E3CCD0" w:rsidR="000F35EB" w:rsidRPr="00A94C62" w:rsidRDefault="000F35EB" w:rsidP="000F35EB">
            <w:pPr>
              <w:spacing w:line="276" w:lineRule="auto"/>
              <w:ind w:left="708"/>
              <w:jc w:val="both"/>
              <w:rPr>
                <w:rFonts w:ascii="Arial" w:hAnsi="Arial" w:cs="Arial"/>
                <w:color w:val="000000" w:themeColor="text1"/>
                <w:sz w:val="20"/>
                <w:szCs w:val="20"/>
              </w:rPr>
            </w:pPr>
            <w:r w:rsidRPr="00A94C62">
              <w:rPr>
                <w:rFonts w:ascii="Arial" w:hAnsi="Arial" w:cs="Arial"/>
                <w:b/>
                <w:bCs/>
                <w:color w:val="000000" w:themeColor="text1"/>
                <w:sz w:val="20"/>
                <w:szCs w:val="20"/>
              </w:rPr>
              <w:t>Parágrafo 1.</w:t>
            </w:r>
            <w:r w:rsidRPr="00A94C62">
              <w:rPr>
                <w:rFonts w:ascii="Arial" w:hAnsi="Arial" w:cs="Arial"/>
                <w:color w:val="000000" w:themeColor="text1"/>
                <w:sz w:val="20"/>
                <w:szCs w:val="20"/>
              </w:rPr>
              <w:t> Para los fines de este artículo, el Departamento de Cundinamarca no incluye al Distrito Capital de Bogotá.</w:t>
            </w:r>
          </w:p>
          <w:p w14:paraId="2152422C" w14:textId="0F329C12" w:rsidR="000F35EB" w:rsidRPr="00A94C62" w:rsidRDefault="000F35EB" w:rsidP="000F35EB">
            <w:pPr>
              <w:spacing w:line="276" w:lineRule="auto"/>
              <w:ind w:left="708"/>
              <w:jc w:val="both"/>
              <w:rPr>
                <w:rFonts w:ascii="Arial" w:hAnsi="Arial" w:cs="Arial"/>
                <w:color w:val="000000" w:themeColor="text1"/>
                <w:sz w:val="20"/>
                <w:szCs w:val="20"/>
              </w:rPr>
            </w:pPr>
          </w:p>
          <w:p w14:paraId="6BC159C3" w14:textId="1F320F60" w:rsidR="000F35EB" w:rsidRPr="00A94C62" w:rsidRDefault="000F35EB" w:rsidP="000F35EB">
            <w:pPr>
              <w:spacing w:line="276" w:lineRule="auto"/>
              <w:ind w:left="708"/>
              <w:jc w:val="both"/>
              <w:rPr>
                <w:rFonts w:ascii="Arial" w:hAnsi="Arial" w:cs="Arial"/>
                <w:color w:val="000000" w:themeColor="text1"/>
                <w:sz w:val="20"/>
                <w:szCs w:val="20"/>
              </w:rPr>
            </w:pPr>
            <w:r w:rsidRPr="00A94C62">
              <w:rPr>
                <w:rFonts w:ascii="Arial" w:hAnsi="Arial" w:cs="Arial"/>
                <w:b/>
                <w:bCs/>
                <w:color w:val="000000" w:themeColor="text1"/>
                <w:sz w:val="20"/>
                <w:szCs w:val="20"/>
              </w:rPr>
              <w:t>Parágrafo 2</w:t>
            </w:r>
            <w:r w:rsidRPr="00A94C62">
              <w:rPr>
                <w:rFonts w:ascii="Arial" w:hAnsi="Arial" w:cs="Arial"/>
                <w:color w:val="000000" w:themeColor="text1"/>
                <w:sz w:val="20"/>
                <w:szCs w:val="20"/>
              </w:rPr>
              <w:t xml:space="preserve">. Para el caso de la sobretasa a la gasolina, los Concejos de los municipios ubicados en zonas de frontera podrán optar entre la tarifa municipal para zonas de frontera establecida en la tabla de este artículo o la adopción de una tarifa diferencial de $114 por </w:t>
            </w:r>
            <w:r w:rsidRPr="00A94C62">
              <w:rPr>
                <w:rFonts w:ascii="Arial" w:hAnsi="Arial" w:cs="Arial"/>
                <w:color w:val="000000" w:themeColor="text1"/>
                <w:sz w:val="20"/>
                <w:szCs w:val="20"/>
              </w:rPr>
              <w:lastRenderedPageBreak/>
              <w:t xml:space="preserve">galón de gasolina corriente y de $426 por galón de gasolina extra. </w:t>
            </w:r>
          </w:p>
          <w:p w14:paraId="739D8E7D" w14:textId="77777777" w:rsidR="000F35EB" w:rsidRPr="00A94C62" w:rsidRDefault="000F35EB" w:rsidP="000F35EB">
            <w:pPr>
              <w:spacing w:line="276" w:lineRule="auto"/>
              <w:ind w:left="708"/>
              <w:jc w:val="both"/>
              <w:rPr>
                <w:rFonts w:ascii="Arial" w:hAnsi="Arial" w:cs="Arial"/>
                <w:color w:val="000000" w:themeColor="text1"/>
                <w:sz w:val="20"/>
                <w:szCs w:val="20"/>
              </w:rPr>
            </w:pPr>
          </w:p>
          <w:p w14:paraId="7E704CF7" w14:textId="53D0B694" w:rsidR="000F35EB" w:rsidRPr="00A94C62" w:rsidRDefault="000F35EB" w:rsidP="000F35EB">
            <w:pPr>
              <w:spacing w:line="276" w:lineRule="auto"/>
              <w:ind w:left="708"/>
              <w:jc w:val="both"/>
              <w:rPr>
                <w:rFonts w:ascii="Arial" w:hAnsi="Arial" w:cs="Arial"/>
                <w:color w:val="000000" w:themeColor="text1"/>
                <w:sz w:val="20"/>
                <w:szCs w:val="20"/>
              </w:rPr>
            </w:pPr>
            <w:r w:rsidRPr="00A94C62">
              <w:rPr>
                <w:rFonts w:ascii="Arial" w:hAnsi="Arial" w:cs="Arial"/>
                <w:color w:val="000000" w:themeColor="text1"/>
                <w:sz w:val="20"/>
                <w:szCs w:val="20"/>
              </w:rPr>
              <w:t xml:space="preserve">En caso de adoptar la tarifa diferencial establecida en este parágrafo, deberán informar de esta situación a los responsables de declarar y pagar el impuesto, antes de iniciar el periodo gravable para el cual aplica la mencionada tarifa. </w:t>
            </w:r>
          </w:p>
          <w:p w14:paraId="35458DCD" w14:textId="77777777" w:rsidR="000F35EB" w:rsidRPr="00A94C62" w:rsidRDefault="000F35EB" w:rsidP="000F35EB">
            <w:pPr>
              <w:spacing w:line="276" w:lineRule="auto"/>
              <w:ind w:left="708"/>
              <w:jc w:val="both"/>
              <w:rPr>
                <w:rFonts w:ascii="Arial" w:hAnsi="Arial" w:cs="Arial"/>
                <w:color w:val="000000" w:themeColor="text1"/>
                <w:sz w:val="20"/>
                <w:szCs w:val="20"/>
              </w:rPr>
            </w:pPr>
          </w:p>
          <w:p w14:paraId="485DC4DE" w14:textId="792AEAE1" w:rsidR="000F35EB" w:rsidRPr="00A94C62" w:rsidRDefault="000F35EB" w:rsidP="000F35EB">
            <w:pPr>
              <w:spacing w:line="276" w:lineRule="auto"/>
              <w:ind w:left="708"/>
              <w:jc w:val="both"/>
              <w:rPr>
                <w:rFonts w:ascii="Arial" w:hAnsi="Arial" w:cs="Arial"/>
                <w:color w:val="000000" w:themeColor="text1"/>
                <w:sz w:val="20"/>
                <w:szCs w:val="20"/>
              </w:rPr>
            </w:pPr>
            <w:r w:rsidRPr="00A94C62">
              <w:rPr>
                <w:rFonts w:ascii="Arial" w:hAnsi="Arial" w:cs="Arial"/>
                <w:color w:val="000000" w:themeColor="text1"/>
                <w:sz w:val="20"/>
                <w:szCs w:val="20"/>
              </w:rPr>
              <w:t xml:space="preserve">En todo caso, mientras la entidad territorial no haya informado al responsable la adopción de la tarifa diferencial establecida en este parágrafo, la tarifa aplicable será la tarifa municipal para cada tipo de combustible establecida para los municipios de zonas de frontera. </w:t>
            </w:r>
          </w:p>
          <w:p w14:paraId="505658DB" w14:textId="61A9A605" w:rsidR="000F35EB" w:rsidRPr="00A94C62" w:rsidRDefault="000F35EB" w:rsidP="000F35EB">
            <w:pPr>
              <w:spacing w:line="276" w:lineRule="auto"/>
              <w:ind w:left="708"/>
              <w:jc w:val="both"/>
              <w:rPr>
                <w:rFonts w:ascii="Arial" w:hAnsi="Arial" w:cs="Arial"/>
                <w:color w:val="000000" w:themeColor="text1"/>
                <w:sz w:val="20"/>
                <w:szCs w:val="20"/>
              </w:rPr>
            </w:pPr>
          </w:p>
          <w:p w14:paraId="1B9BAC18" w14:textId="6ACF7B6A" w:rsidR="000F35EB" w:rsidRPr="00A94C62" w:rsidRDefault="000F35EB" w:rsidP="000F35EB">
            <w:pPr>
              <w:spacing w:line="276" w:lineRule="auto"/>
              <w:ind w:left="708"/>
              <w:jc w:val="both"/>
              <w:rPr>
                <w:rFonts w:ascii="Arial" w:hAnsi="Arial" w:cs="Arial"/>
                <w:color w:val="000000" w:themeColor="text1"/>
                <w:sz w:val="20"/>
                <w:szCs w:val="20"/>
              </w:rPr>
            </w:pPr>
            <w:r w:rsidRPr="00A94C62">
              <w:rPr>
                <w:rFonts w:ascii="Arial" w:hAnsi="Arial" w:cs="Arial"/>
                <w:b/>
                <w:bCs/>
                <w:color w:val="000000" w:themeColor="text1"/>
                <w:sz w:val="20"/>
                <w:szCs w:val="20"/>
              </w:rPr>
              <w:t>Parágrafo 3.</w:t>
            </w:r>
            <w:r w:rsidRPr="00A94C62">
              <w:rPr>
                <w:rFonts w:ascii="Arial" w:hAnsi="Arial" w:cs="Arial"/>
                <w:color w:val="000000" w:themeColor="text1"/>
                <w:sz w:val="20"/>
                <w:szCs w:val="20"/>
              </w:rPr>
              <w:t xml:space="preserve"> Las tarifas en zonas de frontera para la sobretasa a la gasolina y la sobretasa al ACPM para el producto nacional aplicarán exclusivamente a los volúmenes máximos asignados a los diferentes agentes de la cadena de distribución de combustibles. Para ventas por encima de los volúmenes en mención o agentes que no son objeto de los mismos, la tarifa de la sobretasa a la gasolina por galón y la sobretasa al ACPM por galón será la </w:t>
            </w:r>
            <w:r w:rsidRPr="00A94C62">
              <w:rPr>
                <w:rFonts w:ascii="Arial" w:hAnsi="Arial" w:cs="Arial"/>
                <w:color w:val="000000" w:themeColor="text1"/>
                <w:sz w:val="20"/>
                <w:szCs w:val="20"/>
              </w:rPr>
              <w:lastRenderedPageBreak/>
              <w:t>tarifa general respectiva señalada en el presente artículo.</w:t>
            </w:r>
          </w:p>
          <w:p w14:paraId="3E25C2BA" w14:textId="77777777" w:rsidR="000F35EB" w:rsidRPr="00A94C62" w:rsidRDefault="000F35EB" w:rsidP="000F35EB">
            <w:pPr>
              <w:spacing w:line="276" w:lineRule="auto"/>
              <w:ind w:left="708"/>
              <w:jc w:val="both"/>
              <w:rPr>
                <w:rFonts w:ascii="Arial" w:hAnsi="Arial" w:cs="Arial"/>
                <w:color w:val="000000" w:themeColor="text1"/>
                <w:sz w:val="20"/>
                <w:szCs w:val="20"/>
              </w:rPr>
            </w:pPr>
          </w:p>
          <w:p w14:paraId="49AC2147" w14:textId="232D3739" w:rsidR="000F35EB" w:rsidRPr="00A94C62" w:rsidRDefault="000F35EB" w:rsidP="000F35EB">
            <w:pPr>
              <w:spacing w:line="276" w:lineRule="auto"/>
              <w:ind w:left="708"/>
              <w:jc w:val="both"/>
              <w:rPr>
                <w:rFonts w:ascii="Arial" w:hAnsi="Arial" w:cs="Arial"/>
                <w:color w:val="000000" w:themeColor="text1"/>
                <w:sz w:val="20"/>
                <w:szCs w:val="20"/>
              </w:rPr>
            </w:pPr>
            <w:r w:rsidRPr="00A94C62">
              <w:rPr>
                <w:rFonts w:ascii="Arial" w:hAnsi="Arial" w:cs="Arial"/>
                <w:b/>
                <w:bCs/>
                <w:color w:val="000000" w:themeColor="text1"/>
                <w:sz w:val="20"/>
                <w:szCs w:val="20"/>
              </w:rPr>
              <w:t>Parágrafo 4</w:t>
            </w:r>
            <w:r w:rsidRPr="00A94C62">
              <w:rPr>
                <w:rFonts w:ascii="Arial" w:hAnsi="Arial" w:cs="Arial"/>
                <w:color w:val="000000" w:themeColor="text1"/>
                <w:sz w:val="20"/>
                <w:szCs w:val="20"/>
              </w:rPr>
              <w:t>. Para el consumo de nafta o cualquier otro combustible o líquido derivado del petróleo que pueda ser usado como carburante en motores diseñados para ser utilizados con gasolina, la tarifa será la misma de la gasolina motor extra.</w:t>
            </w:r>
          </w:p>
          <w:p w14:paraId="6B85741C" w14:textId="77777777" w:rsidR="000F35EB" w:rsidRPr="00A94C62" w:rsidRDefault="000F35EB" w:rsidP="000F35EB">
            <w:pPr>
              <w:spacing w:line="276" w:lineRule="auto"/>
              <w:ind w:left="708"/>
              <w:jc w:val="both"/>
              <w:rPr>
                <w:rFonts w:ascii="Arial" w:hAnsi="Arial" w:cs="Arial"/>
                <w:color w:val="000000" w:themeColor="text1"/>
                <w:sz w:val="20"/>
                <w:szCs w:val="20"/>
              </w:rPr>
            </w:pPr>
          </w:p>
          <w:p w14:paraId="79C455C6" w14:textId="452CDEF6" w:rsidR="000F35EB" w:rsidRPr="00A94C62" w:rsidRDefault="000F35EB" w:rsidP="000F35EB">
            <w:pPr>
              <w:spacing w:line="276" w:lineRule="auto"/>
              <w:ind w:left="708"/>
              <w:jc w:val="both"/>
              <w:rPr>
                <w:rFonts w:ascii="Arial" w:hAnsi="Arial" w:cs="Arial"/>
                <w:color w:val="000000" w:themeColor="text1"/>
                <w:sz w:val="20"/>
                <w:szCs w:val="20"/>
              </w:rPr>
            </w:pPr>
            <w:r w:rsidRPr="00A94C62">
              <w:rPr>
                <w:rFonts w:ascii="Arial" w:hAnsi="Arial" w:cs="Arial"/>
                <w:b/>
                <w:bCs/>
                <w:color w:val="000000" w:themeColor="text1"/>
                <w:sz w:val="20"/>
                <w:szCs w:val="20"/>
              </w:rPr>
              <w:t>Parágrafo 5.</w:t>
            </w:r>
            <w:r w:rsidRPr="00A94C62">
              <w:rPr>
                <w:rFonts w:ascii="Arial" w:hAnsi="Arial" w:cs="Arial"/>
                <w:color w:val="000000" w:themeColor="text1"/>
                <w:sz w:val="20"/>
                <w:szCs w:val="20"/>
              </w:rPr>
              <w:t xml:space="preserve">  Las tarifas previstas en este artículo se incrementarán a partir del 1 de enero del año 2023, con la variación anual del índice de precios al consumidor certificado por el Departamento Administrativo Nacional de Estadística -DANE al 30 de noviembre y el resultado se aproximará al peso más cercano. La Dirección de Apoyo Fiscal del Ministerio de Hacienda y Crédito Público certificará y publicará</w:t>
            </w:r>
            <w:r w:rsidR="00CD4F38" w:rsidRPr="00A94C62">
              <w:rPr>
                <w:rFonts w:ascii="Arial" w:hAnsi="Arial" w:cs="Arial"/>
                <w:color w:val="000000" w:themeColor="text1"/>
                <w:sz w:val="20"/>
                <w:szCs w:val="20"/>
              </w:rPr>
              <w:t>,</w:t>
            </w:r>
            <w:r w:rsidRPr="00A94C62">
              <w:rPr>
                <w:rFonts w:ascii="Arial" w:hAnsi="Arial" w:cs="Arial"/>
                <w:color w:val="000000" w:themeColor="text1"/>
                <w:sz w:val="20"/>
                <w:szCs w:val="20"/>
              </w:rPr>
              <w:t xml:space="preserve"> antes del 1 de enero de cada año, las tarifas así indexadas.</w:t>
            </w:r>
          </w:p>
          <w:p w14:paraId="7C1B73A7" w14:textId="77777777" w:rsidR="000F35EB" w:rsidRPr="00A94C62" w:rsidRDefault="000F35EB" w:rsidP="000F35EB">
            <w:pPr>
              <w:spacing w:line="276" w:lineRule="auto"/>
              <w:ind w:left="708"/>
              <w:jc w:val="both"/>
              <w:rPr>
                <w:rFonts w:ascii="Arial" w:hAnsi="Arial" w:cs="Arial"/>
                <w:color w:val="000000" w:themeColor="text1"/>
                <w:sz w:val="20"/>
                <w:szCs w:val="20"/>
              </w:rPr>
            </w:pPr>
          </w:p>
          <w:p w14:paraId="4430CF12" w14:textId="035FA565" w:rsidR="000F35EB" w:rsidRPr="00A94C62" w:rsidRDefault="000F35EB" w:rsidP="000F35EB">
            <w:pPr>
              <w:spacing w:line="276" w:lineRule="auto"/>
              <w:ind w:left="708"/>
              <w:jc w:val="both"/>
              <w:rPr>
                <w:rFonts w:ascii="Arial" w:hAnsi="Arial" w:cs="Arial"/>
                <w:color w:val="000000" w:themeColor="text1"/>
                <w:sz w:val="20"/>
                <w:szCs w:val="20"/>
              </w:rPr>
            </w:pPr>
            <w:r w:rsidRPr="00A94C62">
              <w:rPr>
                <w:rFonts w:ascii="Arial" w:hAnsi="Arial" w:cs="Arial"/>
                <w:b/>
                <w:bCs/>
                <w:color w:val="000000" w:themeColor="text1"/>
                <w:sz w:val="20"/>
                <w:szCs w:val="20"/>
              </w:rPr>
              <w:t>Parágrafo 6.</w:t>
            </w:r>
            <w:r w:rsidRPr="00A94C62">
              <w:rPr>
                <w:rFonts w:ascii="Arial" w:hAnsi="Arial" w:cs="Arial"/>
                <w:color w:val="000000" w:themeColor="text1"/>
                <w:sz w:val="20"/>
                <w:szCs w:val="20"/>
              </w:rPr>
              <w:t xml:space="preserve"> En los casos en que, a la entrada en vigencia de la presente ley existan, a favor de la Nación, contratos de pignoración de la sobretasa a la gasolina, se observarán estos compromisos y se mantendrán vigentes, sin perjuicio de los ajustes que </w:t>
            </w:r>
            <w:r w:rsidRPr="00A94C62">
              <w:rPr>
                <w:rFonts w:ascii="Arial" w:hAnsi="Arial" w:cs="Arial"/>
                <w:color w:val="000000" w:themeColor="text1"/>
                <w:sz w:val="20"/>
                <w:szCs w:val="20"/>
              </w:rPr>
              <w:lastRenderedPageBreak/>
              <w:t>se deban realizar en los documentos contractuales para mantener las equivalencias en el monto de las pignoraciones.</w:t>
            </w:r>
          </w:p>
          <w:p w14:paraId="228CF070" w14:textId="25981565" w:rsidR="000F35EB" w:rsidRPr="00A94C62" w:rsidRDefault="000F35EB" w:rsidP="000F35EB">
            <w:pPr>
              <w:jc w:val="both"/>
              <w:rPr>
                <w:rFonts w:ascii="Arial" w:hAnsi="Arial" w:cs="Arial"/>
                <w:sz w:val="20"/>
                <w:szCs w:val="20"/>
              </w:rPr>
            </w:pPr>
          </w:p>
        </w:tc>
        <w:tc>
          <w:tcPr>
            <w:tcW w:w="3402" w:type="dxa"/>
          </w:tcPr>
          <w:p w14:paraId="10DF115A" w14:textId="1643823C" w:rsidR="009C6A74" w:rsidRPr="00A94C62" w:rsidRDefault="009C6A74" w:rsidP="009C6A74">
            <w:pPr>
              <w:keepNext/>
              <w:widowControl w:val="0"/>
              <w:tabs>
                <w:tab w:val="left" w:pos="1560"/>
              </w:tabs>
              <w:spacing w:line="276" w:lineRule="auto"/>
              <w:jc w:val="both"/>
              <w:rPr>
                <w:rFonts w:ascii="Arial" w:hAnsi="Arial" w:cs="Arial"/>
                <w:color w:val="000000" w:themeColor="text1"/>
                <w:sz w:val="20"/>
                <w:szCs w:val="20"/>
              </w:rPr>
            </w:pPr>
            <w:r w:rsidRPr="00A94C62">
              <w:rPr>
                <w:rFonts w:ascii="Arial" w:hAnsi="Arial" w:cs="Arial"/>
                <w:b/>
                <w:bCs/>
                <w:color w:val="000000" w:themeColor="text1"/>
                <w:sz w:val="20"/>
                <w:szCs w:val="20"/>
              </w:rPr>
              <w:lastRenderedPageBreak/>
              <w:t>ARTÍCULO 3.</w:t>
            </w:r>
            <w:r w:rsidRPr="00A94C62">
              <w:rPr>
                <w:rFonts w:ascii="Arial" w:hAnsi="Arial" w:cs="Arial"/>
                <w:color w:val="000000" w:themeColor="text1"/>
                <w:sz w:val="20"/>
                <w:szCs w:val="20"/>
              </w:rPr>
              <w:t xml:space="preserve"> Modifíquese el artículo 55 de la Ley 788 de 2002, el cual quedará así:</w:t>
            </w:r>
          </w:p>
          <w:p w14:paraId="58A9614A" w14:textId="77777777" w:rsidR="009C6A74" w:rsidRPr="00A94C62" w:rsidRDefault="009C6A74" w:rsidP="009C6A74">
            <w:pPr>
              <w:pStyle w:val="Prrafodelista"/>
              <w:keepNext/>
              <w:widowControl w:val="0"/>
              <w:tabs>
                <w:tab w:val="left" w:pos="1560"/>
              </w:tabs>
              <w:spacing w:line="276" w:lineRule="auto"/>
              <w:ind w:left="0"/>
              <w:jc w:val="both"/>
              <w:rPr>
                <w:rFonts w:ascii="Arial" w:hAnsi="Arial" w:cs="Arial"/>
                <w:color w:val="000000" w:themeColor="text1"/>
                <w:sz w:val="20"/>
                <w:szCs w:val="20"/>
              </w:rPr>
            </w:pPr>
          </w:p>
          <w:p w14:paraId="75064B8A" w14:textId="77777777" w:rsidR="009C6A74" w:rsidRPr="00A94C62" w:rsidRDefault="009C6A74" w:rsidP="009C6A74">
            <w:pPr>
              <w:spacing w:line="276" w:lineRule="auto"/>
              <w:ind w:left="708"/>
              <w:jc w:val="both"/>
              <w:rPr>
                <w:rFonts w:ascii="Arial" w:hAnsi="Arial" w:cs="Arial"/>
                <w:color w:val="000000" w:themeColor="text1"/>
                <w:sz w:val="20"/>
                <w:szCs w:val="20"/>
              </w:rPr>
            </w:pPr>
            <w:r w:rsidRPr="00A94C62">
              <w:rPr>
                <w:rFonts w:ascii="Arial" w:hAnsi="Arial" w:cs="Arial"/>
                <w:b/>
                <w:bCs/>
                <w:color w:val="000000" w:themeColor="text1"/>
                <w:sz w:val="20"/>
                <w:szCs w:val="20"/>
              </w:rPr>
              <w:t>ARTÍCULO 55. Tarifas</w:t>
            </w:r>
            <w:r w:rsidRPr="00A94C62">
              <w:rPr>
                <w:rFonts w:ascii="Arial" w:hAnsi="Arial" w:cs="Arial"/>
                <w:color w:val="000000" w:themeColor="text1"/>
                <w:sz w:val="20"/>
                <w:szCs w:val="20"/>
              </w:rPr>
              <w:t>. Las tarifas de la sobretasa a la gasolina y de la sobretasa al ACPM, por galón, serán las siguientes:</w:t>
            </w:r>
          </w:p>
          <w:p w14:paraId="0D8CF069" w14:textId="77777777" w:rsidR="009C6A74" w:rsidRPr="00A94C62" w:rsidRDefault="009C6A74" w:rsidP="009C6A74">
            <w:pPr>
              <w:spacing w:line="276" w:lineRule="auto"/>
              <w:ind w:left="708"/>
              <w:jc w:val="both"/>
              <w:rPr>
                <w:rFonts w:ascii="Arial" w:hAnsi="Arial" w:cs="Arial"/>
                <w:color w:val="000000" w:themeColor="text1"/>
                <w:sz w:val="20"/>
                <w:szCs w:val="20"/>
              </w:rPr>
            </w:pPr>
          </w:p>
          <w:p w14:paraId="72EFA89C" w14:textId="77777777" w:rsidR="009C6A74" w:rsidRPr="00A94C62" w:rsidRDefault="009C6A74" w:rsidP="009C6A74">
            <w:pPr>
              <w:spacing w:line="276" w:lineRule="auto"/>
              <w:ind w:left="708"/>
              <w:jc w:val="both"/>
              <w:rPr>
                <w:rFonts w:ascii="Arial" w:hAnsi="Arial" w:cs="Arial"/>
                <w:color w:val="000000" w:themeColor="text1"/>
                <w:sz w:val="20"/>
                <w:szCs w:val="20"/>
              </w:rPr>
            </w:pPr>
            <w:r w:rsidRPr="00A94C62">
              <w:rPr>
                <w:rFonts w:ascii="Arial" w:hAnsi="Arial" w:cs="Arial"/>
                <w:color w:val="000000" w:themeColor="text1"/>
                <w:sz w:val="20"/>
                <w:szCs w:val="20"/>
              </w:rPr>
              <w:t>a. Sobretasa a la gasolina</w:t>
            </w:r>
          </w:p>
          <w:p w14:paraId="1D38387C" w14:textId="77777777" w:rsidR="009C6A74" w:rsidRPr="00A94C62" w:rsidRDefault="009C6A74" w:rsidP="009C6A74">
            <w:pPr>
              <w:spacing w:line="276" w:lineRule="auto"/>
              <w:jc w:val="both"/>
              <w:rPr>
                <w:rFonts w:ascii="Arial" w:hAnsi="Arial" w:cs="Arial"/>
                <w:color w:val="000000" w:themeColor="text1"/>
                <w:sz w:val="20"/>
                <w:szCs w:val="20"/>
              </w:rPr>
            </w:pPr>
          </w:p>
          <w:p w14:paraId="204F6CB6" w14:textId="4FCA414E" w:rsidR="009C6A74" w:rsidRPr="00A94C62" w:rsidRDefault="009C6A74" w:rsidP="009C6A74">
            <w:pPr>
              <w:spacing w:line="276" w:lineRule="auto"/>
              <w:jc w:val="both"/>
              <w:rPr>
                <w:rFonts w:ascii="Arial" w:hAnsi="Arial" w:cs="Arial"/>
                <w:color w:val="000000" w:themeColor="text1"/>
                <w:sz w:val="20"/>
                <w:szCs w:val="20"/>
              </w:rPr>
            </w:pPr>
            <w:r w:rsidRPr="00A94C62">
              <w:rPr>
                <w:rFonts w:ascii="Arial" w:hAnsi="Arial" w:cs="Arial"/>
                <w:noProof/>
                <w:color w:val="000000" w:themeColor="text1"/>
                <w:sz w:val="20"/>
                <w:szCs w:val="20"/>
              </w:rPr>
              <w:drawing>
                <wp:inline distT="0" distB="0" distL="0" distR="0" wp14:anchorId="18F3BDF8" wp14:editId="61501A03">
                  <wp:extent cx="1992702" cy="63500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8948" t="46381" r="29243" b="28861"/>
                          <a:stretch/>
                        </pic:blipFill>
                        <pic:spPr bwMode="auto">
                          <a:xfrm>
                            <a:off x="0" y="0"/>
                            <a:ext cx="1996879" cy="636331"/>
                          </a:xfrm>
                          <a:prstGeom prst="rect">
                            <a:avLst/>
                          </a:prstGeom>
                          <a:ln>
                            <a:noFill/>
                          </a:ln>
                          <a:extLst>
                            <a:ext uri="{53640926-AAD7-44D8-BBD7-CCE9431645EC}">
                              <a14:shadowObscured xmlns:a14="http://schemas.microsoft.com/office/drawing/2010/main"/>
                            </a:ext>
                          </a:extLst>
                        </pic:spPr>
                      </pic:pic>
                    </a:graphicData>
                  </a:graphic>
                </wp:inline>
              </w:drawing>
            </w:r>
          </w:p>
          <w:p w14:paraId="220A4D0C" w14:textId="77777777" w:rsidR="009C6A74" w:rsidRPr="00A94C62" w:rsidRDefault="009C6A74" w:rsidP="009C6A74">
            <w:pPr>
              <w:spacing w:line="276" w:lineRule="auto"/>
              <w:ind w:left="708"/>
              <w:jc w:val="both"/>
              <w:rPr>
                <w:rFonts w:ascii="Arial" w:hAnsi="Arial" w:cs="Arial"/>
                <w:color w:val="000000" w:themeColor="text1"/>
                <w:sz w:val="20"/>
                <w:szCs w:val="20"/>
              </w:rPr>
            </w:pPr>
          </w:p>
          <w:p w14:paraId="003A916A" w14:textId="77777777" w:rsidR="009C6A74" w:rsidRPr="00A94C62" w:rsidRDefault="009C6A74" w:rsidP="009C6A74">
            <w:pPr>
              <w:spacing w:line="276" w:lineRule="auto"/>
              <w:ind w:left="708"/>
              <w:jc w:val="both"/>
              <w:rPr>
                <w:rFonts w:ascii="Arial" w:hAnsi="Arial" w:cs="Arial"/>
                <w:color w:val="000000" w:themeColor="text1"/>
                <w:sz w:val="20"/>
                <w:szCs w:val="20"/>
              </w:rPr>
            </w:pPr>
            <w:r w:rsidRPr="00A94C62">
              <w:rPr>
                <w:rFonts w:ascii="Arial" w:hAnsi="Arial" w:cs="Arial"/>
                <w:color w:val="000000" w:themeColor="text1"/>
                <w:sz w:val="20"/>
                <w:szCs w:val="20"/>
              </w:rPr>
              <w:t>b. Sobretasa al ACPM</w:t>
            </w:r>
          </w:p>
          <w:p w14:paraId="61E950FE" w14:textId="77777777" w:rsidR="009C6A74" w:rsidRPr="00A94C62" w:rsidRDefault="009C6A74" w:rsidP="009C6A74">
            <w:pPr>
              <w:spacing w:line="276" w:lineRule="auto"/>
              <w:ind w:left="708"/>
              <w:jc w:val="both"/>
              <w:rPr>
                <w:rFonts w:ascii="Arial" w:hAnsi="Arial" w:cs="Arial"/>
                <w:color w:val="000000" w:themeColor="text1"/>
                <w:sz w:val="20"/>
                <w:szCs w:val="20"/>
              </w:rPr>
            </w:pPr>
          </w:p>
          <w:p w14:paraId="4ED51709" w14:textId="77777777" w:rsidR="009C6A74" w:rsidRPr="00A94C62" w:rsidRDefault="009C6A74" w:rsidP="009C6A74">
            <w:pPr>
              <w:spacing w:line="276" w:lineRule="auto"/>
              <w:ind w:left="708"/>
              <w:jc w:val="both"/>
              <w:rPr>
                <w:rFonts w:ascii="Arial" w:hAnsi="Arial" w:cs="Arial"/>
                <w:color w:val="000000" w:themeColor="text1"/>
                <w:sz w:val="20"/>
                <w:szCs w:val="20"/>
              </w:rPr>
            </w:pPr>
            <w:r w:rsidRPr="00A94C62">
              <w:rPr>
                <w:rFonts w:ascii="Arial" w:hAnsi="Arial" w:cs="Arial"/>
                <w:color w:val="000000" w:themeColor="text1"/>
                <w:sz w:val="20"/>
                <w:szCs w:val="20"/>
              </w:rPr>
              <w:t xml:space="preserve">La tarifa de la sobretasa al ACPM será de $301 pesos por galón. La sobretasa al ACPM para consumo en municipios zonas de frontera se liquidará con una tarifa de $204 por galón para el producto nacional y $114 por galón para el producto importado. </w:t>
            </w:r>
          </w:p>
          <w:p w14:paraId="5FE198AC" w14:textId="77777777" w:rsidR="009C6A74" w:rsidRPr="00A94C62" w:rsidRDefault="009C6A74" w:rsidP="009C6A74">
            <w:pPr>
              <w:spacing w:line="276" w:lineRule="auto"/>
              <w:ind w:left="708"/>
              <w:jc w:val="both"/>
              <w:rPr>
                <w:rFonts w:ascii="Arial" w:hAnsi="Arial" w:cs="Arial"/>
                <w:color w:val="000000" w:themeColor="text1"/>
                <w:sz w:val="20"/>
                <w:szCs w:val="20"/>
              </w:rPr>
            </w:pPr>
          </w:p>
          <w:p w14:paraId="6CAAE79B" w14:textId="77777777" w:rsidR="009C6A74" w:rsidRPr="00A94C62" w:rsidRDefault="009C6A74" w:rsidP="009C6A74">
            <w:pPr>
              <w:spacing w:line="276" w:lineRule="auto"/>
              <w:ind w:left="708"/>
              <w:jc w:val="both"/>
              <w:rPr>
                <w:rFonts w:ascii="Arial" w:hAnsi="Arial" w:cs="Arial"/>
                <w:color w:val="000000" w:themeColor="text1"/>
                <w:sz w:val="20"/>
                <w:szCs w:val="20"/>
              </w:rPr>
            </w:pPr>
            <w:r w:rsidRPr="00A94C62">
              <w:rPr>
                <w:rFonts w:ascii="Arial" w:hAnsi="Arial" w:cs="Arial"/>
                <w:b/>
                <w:bCs/>
                <w:color w:val="000000" w:themeColor="text1"/>
                <w:sz w:val="20"/>
                <w:szCs w:val="20"/>
              </w:rPr>
              <w:t>Parágrafo 1.</w:t>
            </w:r>
            <w:r w:rsidRPr="00A94C62">
              <w:rPr>
                <w:rFonts w:ascii="Arial" w:hAnsi="Arial" w:cs="Arial"/>
                <w:color w:val="000000" w:themeColor="text1"/>
                <w:sz w:val="20"/>
                <w:szCs w:val="20"/>
              </w:rPr>
              <w:t> Para los fines de este artículo, el Departamento de Cundinamarca no incluye al Distrito Capital de Bogotá.</w:t>
            </w:r>
          </w:p>
          <w:p w14:paraId="73841F70" w14:textId="77777777" w:rsidR="009C6A74" w:rsidRPr="00A94C62" w:rsidRDefault="009C6A74" w:rsidP="009C6A74">
            <w:pPr>
              <w:spacing w:line="276" w:lineRule="auto"/>
              <w:ind w:left="708"/>
              <w:jc w:val="both"/>
              <w:rPr>
                <w:rFonts w:ascii="Arial" w:hAnsi="Arial" w:cs="Arial"/>
                <w:color w:val="000000" w:themeColor="text1"/>
                <w:sz w:val="20"/>
                <w:szCs w:val="20"/>
              </w:rPr>
            </w:pPr>
          </w:p>
          <w:p w14:paraId="2EB70EE3" w14:textId="77777777" w:rsidR="009C6A74" w:rsidRPr="00A94C62" w:rsidRDefault="009C6A74" w:rsidP="009C6A74">
            <w:pPr>
              <w:spacing w:line="276" w:lineRule="auto"/>
              <w:ind w:left="708"/>
              <w:jc w:val="both"/>
              <w:rPr>
                <w:rFonts w:ascii="Arial" w:hAnsi="Arial" w:cs="Arial"/>
                <w:color w:val="000000" w:themeColor="text1"/>
                <w:sz w:val="20"/>
                <w:szCs w:val="20"/>
              </w:rPr>
            </w:pPr>
            <w:r w:rsidRPr="00A94C62">
              <w:rPr>
                <w:rFonts w:ascii="Arial" w:hAnsi="Arial" w:cs="Arial"/>
                <w:b/>
                <w:bCs/>
                <w:color w:val="000000" w:themeColor="text1"/>
                <w:sz w:val="20"/>
                <w:szCs w:val="20"/>
              </w:rPr>
              <w:t>Parágrafo 2</w:t>
            </w:r>
            <w:r w:rsidRPr="00A94C62">
              <w:rPr>
                <w:rFonts w:ascii="Arial" w:hAnsi="Arial" w:cs="Arial"/>
                <w:color w:val="000000" w:themeColor="text1"/>
                <w:sz w:val="20"/>
                <w:szCs w:val="20"/>
              </w:rPr>
              <w:t xml:space="preserve">. Para el caso de la sobretasa a la gasolina, los Concejos de los municipios ubicados en zonas de frontera podrán optar entre la tarifa municipal para zonas de frontera establecida en la tabla de este artículo o la adopción de una tarifa diferencial de $114 por </w:t>
            </w:r>
            <w:r w:rsidRPr="00A94C62">
              <w:rPr>
                <w:rFonts w:ascii="Arial" w:hAnsi="Arial" w:cs="Arial"/>
                <w:color w:val="000000" w:themeColor="text1"/>
                <w:sz w:val="20"/>
                <w:szCs w:val="20"/>
              </w:rPr>
              <w:lastRenderedPageBreak/>
              <w:t xml:space="preserve">galón de gasolina corriente y de $426 por galón de gasolina extra. </w:t>
            </w:r>
          </w:p>
          <w:p w14:paraId="3FC2F667" w14:textId="77777777" w:rsidR="009C6A74" w:rsidRPr="00A94C62" w:rsidRDefault="009C6A74" w:rsidP="009C6A74">
            <w:pPr>
              <w:spacing w:line="276" w:lineRule="auto"/>
              <w:ind w:left="708"/>
              <w:jc w:val="both"/>
              <w:rPr>
                <w:rFonts w:ascii="Arial" w:hAnsi="Arial" w:cs="Arial"/>
                <w:color w:val="000000" w:themeColor="text1"/>
                <w:sz w:val="20"/>
                <w:szCs w:val="20"/>
              </w:rPr>
            </w:pPr>
          </w:p>
          <w:p w14:paraId="3573A263" w14:textId="77777777" w:rsidR="009C6A74" w:rsidRPr="00A94C62" w:rsidRDefault="009C6A74" w:rsidP="009C6A74">
            <w:pPr>
              <w:spacing w:line="276" w:lineRule="auto"/>
              <w:ind w:left="708"/>
              <w:jc w:val="both"/>
              <w:rPr>
                <w:rFonts w:ascii="Arial" w:hAnsi="Arial" w:cs="Arial"/>
                <w:color w:val="000000" w:themeColor="text1"/>
                <w:sz w:val="20"/>
                <w:szCs w:val="20"/>
              </w:rPr>
            </w:pPr>
            <w:r w:rsidRPr="00A94C62">
              <w:rPr>
                <w:rFonts w:ascii="Arial" w:hAnsi="Arial" w:cs="Arial"/>
                <w:color w:val="000000" w:themeColor="text1"/>
                <w:sz w:val="20"/>
                <w:szCs w:val="20"/>
              </w:rPr>
              <w:t xml:space="preserve">En caso de adoptar la tarifa diferencial establecida en este parágrafo, deberán informar de esta situación a los responsables de declarar y pagar el impuesto, antes de iniciar el periodo gravable para el cual aplica la mencionada tarifa. </w:t>
            </w:r>
          </w:p>
          <w:p w14:paraId="3029890E" w14:textId="77777777" w:rsidR="009C6A74" w:rsidRPr="00A94C62" w:rsidRDefault="009C6A74" w:rsidP="009C6A74">
            <w:pPr>
              <w:spacing w:line="276" w:lineRule="auto"/>
              <w:ind w:left="708"/>
              <w:jc w:val="both"/>
              <w:rPr>
                <w:rFonts w:ascii="Arial" w:hAnsi="Arial" w:cs="Arial"/>
                <w:color w:val="000000" w:themeColor="text1"/>
                <w:sz w:val="20"/>
                <w:szCs w:val="20"/>
              </w:rPr>
            </w:pPr>
          </w:p>
          <w:p w14:paraId="447BB6CD" w14:textId="77777777" w:rsidR="009C6A74" w:rsidRPr="00A94C62" w:rsidRDefault="009C6A74" w:rsidP="009C6A74">
            <w:pPr>
              <w:spacing w:line="276" w:lineRule="auto"/>
              <w:ind w:left="708"/>
              <w:jc w:val="both"/>
              <w:rPr>
                <w:rFonts w:ascii="Arial" w:hAnsi="Arial" w:cs="Arial"/>
                <w:color w:val="000000" w:themeColor="text1"/>
                <w:sz w:val="20"/>
                <w:szCs w:val="20"/>
              </w:rPr>
            </w:pPr>
            <w:r w:rsidRPr="00A94C62">
              <w:rPr>
                <w:rFonts w:ascii="Arial" w:hAnsi="Arial" w:cs="Arial"/>
                <w:color w:val="000000" w:themeColor="text1"/>
                <w:sz w:val="20"/>
                <w:szCs w:val="20"/>
              </w:rPr>
              <w:t xml:space="preserve">En todo caso, mientras la entidad territorial no haya informado al responsable la adopción de la tarifa diferencial establecida en este parágrafo, la tarifa aplicable será la tarifa municipal para cada tipo de combustible establecida para los municipios de zonas de frontera. </w:t>
            </w:r>
          </w:p>
          <w:p w14:paraId="5920B2B5" w14:textId="77777777" w:rsidR="009C6A74" w:rsidRPr="00A94C62" w:rsidRDefault="009C6A74" w:rsidP="009C6A74">
            <w:pPr>
              <w:spacing w:line="276" w:lineRule="auto"/>
              <w:ind w:left="708"/>
              <w:jc w:val="both"/>
              <w:rPr>
                <w:rFonts w:ascii="Arial" w:hAnsi="Arial" w:cs="Arial"/>
                <w:color w:val="000000" w:themeColor="text1"/>
                <w:sz w:val="20"/>
                <w:szCs w:val="20"/>
              </w:rPr>
            </w:pPr>
          </w:p>
          <w:p w14:paraId="5674BA98" w14:textId="77777777" w:rsidR="009C6A74" w:rsidRPr="00A94C62" w:rsidRDefault="009C6A74" w:rsidP="009C6A74">
            <w:pPr>
              <w:spacing w:line="276" w:lineRule="auto"/>
              <w:ind w:left="708"/>
              <w:jc w:val="both"/>
              <w:rPr>
                <w:rFonts w:ascii="Arial" w:hAnsi="Arial" w:cs="Arial"/>
                <w:color w:val="000000" w:themeColor="text1"/>
                <w:sz w:val="20"/>
                <w:szCs w:val="20"/>
              </w:rPr>
            </w:pPr>
            <w:r w:rsidRPr="00A94C62">
              <w:rPr>
                <w:rFonts w:ascii="Arial" w:hAnsi="Arial" w:cs="Arial"/>
                <w:b/>
                <w:bCs/>
                <w:color w:val="000000" w:themeColor="text1"/>
                <w:sz w:val="20"/>
                <w:szCs w:val="20"/>
              </w:rPr>
              <w:t>Parágrafo 3.</w:t>
            </w:r>
            <w:r w:rsidRPr="00A94C62">
              <w:rPr>
                <w:rFonts w:ascii="Arial" w:hAnsi="Arial" w:cs="Arial"/>
                <w:color w:val="000000" w:themeColor="text1"/>
                <w:sz w:val="20"/>
                <w:szCs w:val="20"/>
              </w:rPr>
              <w:t xml:space="preserve"> Las tarifas en zonas de frontera para la sobretasa a la gasolina y la sobretasa al ACPM para el producto nacional aplicarán exclusivamente a los volúmenes máximos asignados a los diferentes agentes de la cadena de distribución de combustibles. Para ventas por encima de los volúmenes en mención o agentes que no son objeto de los mismos, la tarifa de la sobretasa a la gasolina por galón y la sobretasa al ACPM por galón será la </w:t>
            </w:r>
            <w:r w:rsidRPr="00A94C62">
              <w:rPr>
                <w:rFonts w:ascii="Arial" w:hAnsi="Arial" w:cs="Arial"/>
                <w:color w:val="000000" w:themeColor="text1"/>
                <w:sz w:val="20"/>
                <w:szCs w:val="20"/>
              </w:rPr>
              <w:lastRenderedPageBreak/>
              <w:t>tarifa general respectiva señalada en el presente artículo.</w:t>
            </w:r>
          </w:p>
          <w:p w14:paraId="57274830" w14:textId="77777777" w:rsidR="009C6A74" w:rsidRPr="00A94C62" w:rsidRDefault="009C6A74" w:rsidP="009C6A74">
            <w:pPr>
              <w:spacing w:line="276" w:lineRule="auto"/>
              <w:ind w:left="708"/>
              <w:jc w:val="both"/>
              <w:rPr>
                <w:rFonts w:ascii="Arial" w:hAnsi="Arial" w:cs="Arial"/>
                <w:color w:val="000000" w:themeColor="text1"/>
                <w:sz w:val="20"/>
                <w:szCs w:val="20"/>
              </w:rPr>
            </w:pPr>
          </w:p>
          <w:p w14:paraId="190933A7" w14:textId="77777777" w:rsidR="009C6A74" w:rsidRPr="00A94C62" w:rsidRDefault="009C6A74" w:rsidP="009C6A74">
            <w:pPr>
              <w:spacing w:line="276" w:lineRule="auto"/>
              <w:ind w:left="708"/>
              <w:jc w:val="both"/>
              <w:rPr>
                <w:rFonts w:ascii="Arial" w:hAnsi="Arial" w:cs="Arial"/>
                <w:color w:val="000000" w:themeColor="text1"/>
                <w:sz w:val="20"/>
                <w:szCs w:val="20"/>
              </w:rPr>
            </w:pPr>
            <w:r w:rsidRPr="00A94C62">
              <w:rPr>
                <w:rFonts w:ascii="Arial" w:hAnsi="Arial" w:cs="Arial"/>
                <w:b/>
                <w:bCs/>
                <w:color w:val="000000" w:themeColor="text1"/>
                <w:sz w:val="20"/>
                <w:szCs w:val="20"/>
              </w:rPr>
              <w:t>Parágrafo 4</w:t>
            </w:r>
            <w:r w:rsidRPr="00A94C62">
              <w:rPr>
                <w:rFonts w:ascii="Arial" w:hAnsi="Arial" w:cs="Arial"/>
                <w:color w:val="000000" w:themeColor="text1"/>
                <w:sz w:val="20"/>
                <w:szCs w:val="20"/>
              </w:rPr>
              <w:t>. Para el consumo de nafta o cualquier otro combustible o líquido derivado del petróleo que pueda ser usado como carburante en motores diseñados para ser utilizados con gasolina, la tarifa será la misma de la gasolina motor extra.</w:t>
            </w:r>
          </w:p>
          <w:p w14:paraId="110F5BD2" w14:textId="77777777" w:rsidR="009C6A74" w:rsidRPr="00A94C62" w:rsidRDefault="009C6A74" w:rsidP="009C6A74">
            <w:pPr>
              <w:spacing w:line="276" w:lineRule="auto"/>
              <w:ind w:left="708"/>
              <w:jc w:val="both"/>
              <w:rPr>
                <w:rFonts w:ascii="Arial" w:hAnsi="Arial" w:cs="Arial"/>
                <w:color w:val="000000" w:themeColor="text1"/>
                <w:sz w:val="20"/>
                <w:szCs w:val="20"/>
              </w:rPr>
            </w:pPr>
          </w:p>
          <w:p w14:paraId="15424C13" w14:textId="37BED0D5" w:rsidR="009C6A74" w:rsidRPr="00A94C62" w:rsidRDefault="009C6A74" w:rsidP="009C6A74">
            <w:pPr>
              <w:spacing w:line="276" w:lineRule="auto"/>
              <w:ind w:left="708"/>
              <w:jc w:val="both"/>
              <w:rPr>
                <w:rFonts w:ascii="Arial" w:hAnsi="Arial" w:cs="Arial"/>
                <w:color w:val="000000" w:themeColor="text1"/>
                <w:sz w:val="20"/>
                <w:szCs w:val="20"/>
              </w:rPr>
            </w:pPr>
            <w:r w:rsidRPr="00A94C62">
              <w:rPr>
                <w:rFonts w:ascii="Arial" w:hAnsi="Arial" w:cs="Arial"/>
                <w:b/>
                <w:bCs/>
                <w:color w:val="000000" w:themeColor="text1"/>
                <w:sz w:val="20"/>
                <w:szCs w:val="20"/>
              </w:rPr>
              <w:t>Parágrafo 5.</w:t>
            </w:r>
            <w:r w:rsidRPr="00A94C62">
              <w:rPr>
                <w:rFonts w:ascii="Arial" w:hAnsi="Arial" w:cs="Arial"/>
                <w:color w:val="000000" w:themeColor="text1"/>
                <w:sz w:val="20"/>
                <w:szCs w:val="20"/>
              </w:rPr>
              <w:t xml:space="preserve">  Las tarifas previstas en este artículo se incrementarán a partir del 1</w:t>
            </w:r>
            <w:r w:rsidR="000F35EB" w:rsidRPr="00A94C62">
              <w:rPr>
                <w:rFonts w:ascii="Arial" w:hAnsi="Arial" w:cs="Arial"/>
                <w:color w:val="000000" w:themeColor="text1"/>
                <w:sz w:val="20"/>
                <w:szCs w:val="20"/>
              </w:rPr>
              <w:t xml:space="preserve"> </w:t>
            </w:r>
            <w:r w:rsidRPr="00A94C62">
              <w:rPr>
                <w:rFonts w:ascii="Arial" w:hAnsi="Arial" w:cs="Arial"/>
                <w:color w:val="000000" w:themeColor="text1"/>
                <w:sz w:val="20"/>
                <w:szCs w:val="20"/>
              </w:rPr>
              <w:t>de enero del año 202</w:t>
            </w:r>
            <w:r w:rsidR="000F35EB" w:rsidRPr="00A94C62">
              <w:rPr>
                <w:rFonts w:ascii="Arial" w:hAnsi="Arial" w:cs="Arial"/>
                <w:color w:val="000000" w:themeColor="text1"/>
                <w:sz w:val="20"/>
                <w:szCs w:val="20"/>
              </w:rPr>
              <w:t>3</w:t>
            </w:r>
            <w:r w:rsidRPr="00A94C62">
              <w:rPr>
                <w:rFonts w:ascii="Arial" w:hAnsi="Arial" w:cs="Arial"/>
                <w:color w:val="000000" w:themeColor="text1"/>
                <w:sz w:val="20"/>
                <w:szCs w:val="20"/>
              </w:rPr>
              <w:t>, con la variación anual del índice de precios al consumidor certificado por el Departamento Administrativo Nacional de Estadística -DANE al 30 de noviembre y el resultado se aproximará al peso más cercano. La Dirección de Apoyo Fiscal del Ministerio de Hacienda y Crédito Público certificará y publicará</w:t>
            </w:r>
            <w:r w:rsidR="00CD4F38" w:rsidRPr="00A94C62">
              <w:rPr>
                <w:rFonts w:ascii="Arial" w:hAnsi="Arial" w:cs="Arial"/>
                <w:color w:val="000000" w:themeColor="text1"/>
                <w:sz w:val="20"/>
                <w:szCs w:val="20"/>
              </w:rPr>
              <w:t>,</w:t>
            </w:r>
            <w:r w:rsidRPr="00A94C62">
              <w:rPr>
                <w:rFonts w:ascii="Arial" w:hAnsi="Arial" w:cs="Arial"/>
                <w:color w:val="000000" w:themeColor="text1"/>
                <w:sz w:val="20"/>
                <w:szCs w:val="20"/>
              </w:rPr>
              <w:t xml:space="preserve"> antes del 1 de enero de cada año, las tarifas así indexadas.</w:t>
            </w:r>
          </w:p>
          <w:p w14:paraId="58F414F3" w14:textId="26D48652" w:rsidR="009C6A74" w:rsidRPr="00A94C62" w:rsidRDefault="009C6A74" w:rsidP="009C6A74">
            <w:pPr>
              <w:spacing w:line="276" w:lineRule="auto"/>
              <w:ind w:left="708"/>
              <w:jc w:val="both"/>
              <w:rPr>
                <w:rFonts w:ascii="Arial" w:hAnsi="Arial" w:cs="Arial"/>
                <w:color w:val="000000" w:themeColor="text1"/>
                <w:sz w:val="20"/>
                <w:szCs w:val="20"/>
              </w:rPr>
            </w:pPr>
          </w:p>
          <w:p w14:paraId="4231BBAD" w14:textId="5B927458" w:rsidR="009C6A74" w:rsidRPr="00A94C62" w:rsidRDefault="009C6A74" w:rsidP="009C6A74">
            <w:pPr>
              <w:spacing w:line="276" w:lineRule="auto"/>
              <w:ind w:left="708"/>
              <w:jc w:val="both"/>
              <w:rPr>
                <w:rFonts w:ascii="Arial" w:hAnsi="Arial" w:cs="Arial"/>
                <w:color w:val="000000" w:themeColor="text1"/>
                <w:sz w:val="20"/>
                <w:szCs w:val="20"/>
              </w:rPr>
            </w:pPr>
            <w:r w:rsidRPr="00A94C62">
              <w:rPr>
                <w:rFonts w:ascii="Arial" w:hAnsi="Arial" w:cs="Arial"/>
                <w:b/>
                <w:bCs/>
                <w:color w:val="000000" w:themeColor="text1"/>
                <w:sz w:val="20"/>
                <w:szCs w:val="20"/>
              </w:rPr>
              <w:t>Parágrafo 6.</w:t>
            </w:r>
            <w:r w:rsidRPr="00A94C62">
              <w:rPr>
                <w:rFonts w:ascii="Arial" w:hAnsi="Arial" w:cs="Arial"/>
                <w:color w:val="000000" w:themeColor="text1"/>
                <w:sz w:val="20"/>
                <w:szCs w:val="20"/>
              </w:rPr>
              <w:t xml:space="preserve"> En los casos en que, a la entrada en vigencia de la presente ley existan, a favor de la Nación, contratos de pignoración de la sobretasa a la gasolina, se observarán estos compromisos y se mantendrán vigentes, sin perjuicio de los ajustes que </w:t>
            </w:r>
            <w:r w:rsidRPr="00A94C62">
              <w:rPr>
                <w:rFonts w:ascii="Arial" w:hAnsi="Arial" w:cs="Arial"/>
                <w:color w:val="000000" w:themeColor="text1"/>
                <w:sz w:val="20"/>
                <w:szCs w:val="20"/>
              </w:rPr>
              <w:lastRenderedPageBreak/>
              <w:t>se deban realizar en los documentos contractuales para mantener las equivalencias en el monto de las pignoraciones.</w:t>
            </w:r>
          </w:p>
          <w:p w14:paraId="13F0B5AF" w14:textId="21B370CF" w:rsidR="001C4AE6" w:rsidRPr="00A94C62" w:rsidRDefault="001C4AE6" w:rsidP="00746126">
            <w:pPr>
              <w:pStyle w:val="NormalWeb"/>
              <w:spacing w:before="0" w:beforeAutospacing="0" w:after="0"/>
              <w:ind w:left="340"/>
              <w:jc w:val="both"/>
              <w:rPr>
                <w:rFonts w:ascii="Arial" w:eastAsiaTheme="minorHAnsi" w:hAnsi="Arial" w:cs="Arial"/>
                <w:color w:val="000000" w:themeColor="text1"/>
                <w:sz w:val="20"/>
                <w:szCs w:val="20"/>
                <w:lang w:eastAsia="en-US"/>
              </w:rPr>
            </w:pPr>
          </w:p>
        </w:tc>
        <w:tc>
          <w:tcPr>
            <w:tcW w:w="2127" w:type="dxa"/>
          </w:tcPr>
          <w:p w14:paraId="1476A882" w14:textId="5755FF1F" w:rsidR="00CF22BF" w:rsidRPr="00A94C62" w:rsidRDefault="0013430F" w:rsidP="00CF22BF">
            <w:pPr>
              <w:pStyle w:val="NormalWeb"/>
              <w:spacing w:after="0"/>
              <w:jc w:val="both"/>
              <w:rPr>
                <w:rFonts w:ascii="Arial" w:hAnsi="Arial" w:cs="Arial"/>
                <w:b/>
                <w:bCs/>
                <w:sz w:val="20"/>
                <w:szCs w:val="20"/>
              </w:rPr>
            </w:pPr>
            <w:r w:rsidRPr="00A94C62">
              <w:rPr>
                <w:rFonts w:ascii="Arial" w:hAnsi="Arial" w:cs="Arial"/>
                <w:sz w:val="20"/>
                <w:szCs w:val="20"/>
              </w:rPr>
              <w:lastRenderedPageBreak/>
              <w:t>El texto fue aprobado de manera idéntica por la Plenaria de la Cámara de Representantes y del Senado de la República</w:t>
            </w:r>
          </w:p>
        </w:tc>
      </w:tr>
      <w:tr w:rsidR="003D59B2" w:rsidRPr="00A94C62" w14:paraId="7F4B22D7" w14:textId="77777777" w:rsidTr="00F7648C">
        <w:trPr>
          <w:trHeight w:val="227"/>
        </w:trPr>
        <w:tc>
          <w:tcPr>
            <w:tcW w:w="3397" w:type="dxa"/>
            <w:vAlign w:val="center"/>
          </w:tcPr>
          <w:p w14:paraId="199AD6F8" w14:textId="14BD3516" w:rsidR="003D59B2" w:rsidRPr="00A94C62" w:rsidRDefault="000F35EB" w:rsidP="00391F31">
            <w:pPr>
              <w:jc w:val="both"/>
              <w:rPr>
                <w:rFonts w:ascii="Arial" w:hAnsi="Arial" w:cs="Arial"/>
                <w:b/>
                <w:bCs/>
                <w:sz w:val="20"/>
                <w:szCs w:val="20"/>
              </w:rPr>
            </w:pPr>
            <w:r w:rsidRPr="00A94C62">
              <w:rPr>
                <w:rFonts w:ascii="Arial" w:hAnsi="Arial" w:cs="Arial"/>
                <w:b/>
                <w:bCs/>
                <w:sz w:val="20"/>
                <w:szCs w:val="20"/>
              </w:rPr>
              <w:lastRenderedPageBreak/>
              <w:t xml:space="preserve">ARTÍCULO 4. Vigencia. </w:t>
            </w:r>
            <w:r w:rsidRPr="00A94C62">
              <w:rPr>
                <w:rFonts w:ascii="Arial" w:hAnsi="Arial" w:cs="Arial"/>
                <w:sz w:val="20"/>
                <w:szCs w:val="20"/>
              </w:rPr>
              <w:t xml:space="preserve">La presente ley </w:t>
            </w:r>
            <w:r w:rsidR="00391F31" w:rsidRPr="00A94C62">
              <w:rPr>
                <w:rFonts w:ascii="Arial" w:hAnsi="Arial" w:cs="Arial"/>
                <w:sz w:val="20"/>
                <w:szCs w:val="20"/>
              </w:rPr>
              <w:t xml:space="preserve">rige a partir </w:t>
            </w:r>
            <w:r w:rsidR="00391F31" w:rsidRPr="00A94C62">
              <w:rPr>
                <w:rFonts w:ascii="Arial" w:hAnsi="Arial" w:cs="Arial"/>
                <w:sz w:val="20"/>
                <w:szCs w:val="20"/>
                <w:u w:val="single"/>
              </w:rPr>
              <w:t>de su promulgación</w:t>
            </w:r>
            <w:r w:rsidR="00391F31" w:rsidRPr="00A94C62">
              <w:rPr>
                <w:rFonts w:ascii="Arial" w:hAnsi="Arial" w:cs="Arial"/>
                <w:sz w:val="20"/>
                <w:szCs w:val="20"/>
              </w:rPr>
              <w:t xml:space="preserve">. </w:t>
            </w:r>
          </w:p>
        </w:tc>
        <w:tc>
          <w:tcPr>
            <w:tcW w:w="3402" w:type="dxa"/>
            <w:vAlign w:val="center"/>
          </w:tcPr>
          <w:p w14:paraId="6435AE86" w14:textId="07A6C623" w:rsidR="003D59B2" w:rsidRPr="00A94C62" w:rsidRDefault="009C6A74" w:rsidP="009C6A74">
            <w:pPr>
              <w:jc w:val="both"/>
              <w:rPr>
                <w:rFonts w:ascii="Arial" w:hAnsi="Arial" w:cs="Arial"/>
                <w:b/>
                <w:bCs/>
                <w:sz w:val="20"/>
                <w:szCs w:val="20"/>
                <w:u w:val="single"/>
              </w:rPr>
            </w:pPr>
            <w:r w:rsidRPr="00A94C62">
              <w:rPr>
                <w:rFonts w:ascii="Arial" w:hAnsi="Arial" w:cs="Arial"/>
                <w:b/>
                <w:bCs/>
                <w:color w:val="000000" w:themeColor="text1"/>
                <w:sz w:val="20"/>
                <w:szCs w:val="20"/>
              </w:rPr>
              <w:t>ARTÍCULO 4.</w:t>
            </w:r>
            <w:r w:rsidRPr="00A94C62">
              <w:rPr>
                <w:rFonts w:ascii="Arial" w:hAnsi="Arial" w:cs="Arial"/>
                <w:color w:val="000000" w:themeColor="text1"/>
                <w:sz w:val="20"/>
                <w:szCs w:val="20"/>
              </w:rPr>
              <w:t xml:space="preserve"> </w:t>
            </w:r>
            <w:r w:rsidRPr="00A94C62">
              <w:rPr>
                <w:rFonts w:ascii="Arial" w:hAnsi="Arial" w:cs="Arial"/>
                <w:b/>
                <w:bCs/>
                <w:color w:val="000000" w:themeColor="text1"/>
                <w:sz w:val="20"/>
                <w:szCs w:val="20"/>
              </w:rPr>
              <w:t>Vigencia</w:t>
            </w:r>
            <w:r w:rsidRPr="00A94C62">
              <w:rPr>
                <w:rFonts w:ascii="Arial" w:hAnsi="Arial" w:cs="Arial"/>
                <w:color w:val="000000" w:themeColor="text1"/>
                <w:sz w:val="20"/>
                <w:szCs w:val="20"/>
              </w:rPr>
              <w:t>. La presente ley rige a partir</w:t>
            </w:r>
            <w:r w:rsidRPr="000A0C42">
              <w:rPr>
                <w:rFonts w:ascii="Arial" w:hAnsi="Arial" w:cs="Arial"/>
                <w:color w:val="000000" w:themeColor="text1"/>
                <w:sz w:val="20"/>
                <w:szCs w:val="20"/>
              </w:rPr>
              <w:t xml:space="preserve"> </w:t>
            </w:r>
            <w:r w:rsidRPr="00A94C62">
              <w:rPr>
                <w:rFonts w:ascii="Arial" w:hAnsi="Arial" w:cs="Arial"/>
                <w:color w:val="000000" w:themeColor="text1"/>
                <w:sz w:val="20"/>
                <w:szCs w:val="20"/>
                <w:u w:val="single"/>
              </w:rPr>
              <w:t>del 21 de junio de 2021</w:t>
            </w:r>
            <w:r w:rsidR="000F35EB" w:rsidRPr="00A94C62">
              <w:rPr>
                <w:rFonts w:ascii="Arial" w:hAnsi="Arial" w:cs="Arial"/>
                <w:color w:val="000000" w:themeColor="text1"/>
                <w:sz w:val="20"/>
                <w:szCs w:val="20"/>
                <w:u w:val="single"/>
              </w:rPr>
              <w:t>.</w:t>
            </w:r>
          </w:p>
        </w:tc>
        <w:tc>
          <w:tcPr>
            <w:tcW w:w="2127" w:type="dxa"/>
          </w:tcPr>
          <w:p w14:paraId="7A7540FD" w14:textId="2B658E93" w:rsidR="003D59B2" w:rsidRPr="00A94C62" w:rsidRDefault="009C6A74" w:rsidP="00CF22BF">
            <w:pPr>
              <w:pStyle w:val="NormalWeb"/>
              <w:spacing w:after="0"/>
              <w:jc w:val="both"/>
              <w:rPr>
                <w:rFonts w:ascii="Arial" w:hAnsi="Arial" w:cs="Arial"/>
                <w:sz w:val="20"/>
                <w:szCs w:val="20"/>
              </w:rPr>
            </w:pPr>
            <w:r w:rsidRPr="00A94C62">
              <w:rPr>
                <w:rFonts w:ascii="Arial" w:hAnsi="Arial" w:cs="Arial"/>
                <w:bCs/>
                <w:sz w:val="20"/>
                <w:szCs w:val="20"/>
              </w:rPr>
              <w:t>Se propone adoptar el texto aprobado en la Plenaria de la Cámara de Representantes</w:t>
            </w:r>
            <w:r w:rsidR="00A94C62" w:rsidRPr="00A94C62">
              <w:rPr>
                <w:rFonts w:ascii="Arial" w:hAnsi="Arial" w:cs="Arial"/>
                <w:bCs/>
                <w:sz w:val="20"/>
                <w:szCs w:val="20"/>
              </w:rPr>
              <w:t>.</w:t>
            </w:r>
          </w:p>
        </w:tc>
      </w:tr>
      <w:bookmarkEnd w:id="1"/>
    </w:tbl>
    <w:p w14:paraId="0472D910" w14:textId="28688FAF" w:rsidR="00145EA9" w:rsidRPr="00A94C62" w:rsidRDefault="00145EA9" w:rsidP="00886CE3">
      <w:pPr>
        <w:pStyle w:val="NormalWeb"/>
        <w:spacing w:before="0" w:beforeAutospacing="0" w:after="0" w:afterAutospacing="0"/>
        <w:jc w:val="both"/>
        <w:rPr>
          <w:rFonts w:ascii="Arial" w:hAnsi="Arial" w:cs="Arial"/>
          <w:color w:val="000000"/>
          <w:sz w:val="22"/>
          <w:szCs w:val="22"/>
        </w:rPr>
      </w:pPr>
    </w:p>
    <w:p w14:paraId="4183F523" w14:textId="71A47BF8" w:rsidR="005F4553" w:rsidRPr="00A94C62" w:rsidRDefault="005F4553" w:rsidP="00886CE3">
      <w:pPr>
        <w:autoSpaceDE w:val="0"/>
        <w:autoSpaceDN w:val="0"/>
        <w:adjustRightInd w:val="0"/>
        <w:spacing w:after="0" w:line="240" w:lineRule="auto"/>
        <w:jc w:val="both"/>
        <w:rPr>
          <w:rFonts w:ascii="Arial" w:hAnsi="Arial" w:cs="Arial"/>
        </w:rPr>
      </w:pPr>
      <w:r w:rsidRPr="00A94C62">
        <w:rPr>
          <w:rFonts w:ascii="Arial" w:hAnsi="Arial" w:cs="Arial"/>
        </w:rPr>
        <w:t>Así las cosas, se acoge el texto aprobado en la Cámara de Representantes, atendiendo que los cambios incluidos en la Plenaria de la Cámara de Representantes mejoran la redacción de la norma, precisando la entrada en vigencia de la iniciativa, en armonía con lo establecido en los artículos 165, 166 y 338 de la Constitución Política. Todo lo anterior contando con la concertación de los autores y ponentes.</w:t>
      </w:r>
    </w:p>
    <w:p w14:paraId="454E8A73" w14:textId="1AB22B5F" w:rsidR="005F4553" w:rsidRPr="00A94C62" w:rsidRDefault="005F4553" w:rsidP="00886CE3">
      <w:pPr>
        <w:autoSpaceDE w:val="0"/>
        <w:autoSpaceDN w:val="0"/>
        <w:adjustRightInd w:val="0"/>
        <w:spacing w:after="0" w:line="240" w:lineRule="auto"/>
        <w:jc w:val="both"/>
        <w:rPr>
          <w:rFonts w:ascii="Arial" w:hAnsi="Arial" w:cs="Arial"/>
        </w:rPr>
      </w:pPr>
    </w:p>
    <w:p w14:paraId="2721395C" w14:textId="57873962" w:rsidR="005365BE" w:rsidRPr="00A94C62" w:rsidRDefault="005365BE" w:rsidP="00886CE3">
      <w:pPr>
        <w:autoSpaceDE w:val="0"/>
        <w:autoSpaceDN w:val="0"/>
        <w:adjustRightInd w:val="0"/>
        <w:spacing w:after="0" w:line="240" w:lineRule="auto"/>
        <w:jc w:val="both"/>
        <w:rPr>
          <w:rFonts w:ascii="Arial" w:hAnsi="Arial" w:cs="Arial"/>
        </w:rPr>
      </w:pPr>
      <w:r w:rsidRPr="00A94C62">
        <w:rPr>
          <w:rFonts w:ascii="Arial" w:hAnsi="Arial" w:cs="Arial"/>
        </w:rPr>
        <w:t>Dadas las anteriores consideraciones, los suscritos nos permitimos proponer ante las plenarias del Senado de la República y de la Cámara de Representantes, el texto conciliado</w:t>
      </w:r>
      <w:r w:rsidR="00A94C62">
        <w:rPr>
          <w:rFonts w:ascii="Arial" w:hAnsi="Arial" w:cs="Arial"/>
        </w:rPr>
        <w:t xml:space="preserve"> del proyecto de ley No. 482 de 2021 Senado y 625 de 2021 Cámara,</w:t>
      </w:r>
      <w:r w:rsidRPr="00A94C62">
        <w:rPr>
          <w:rFonts w:ascii="Arial" w:hAnsi="Arial" w:cs="Arial"/>
        </w:rPr>
        <w:t xml:space="preserve"> que a continuación se transcribe.</w:t>
      </w:r>
    </w:p>
    <w:p w14:paraId="2A9CC2DF" w14:textId="77777777" w:rsidR="005365BE" w:rsidRPr="00A94C62" w:rsidRDefault="005365BE" w:rsidP="00886CE3">
      <w:pPr>
        <w:autoSpaceDE w:val="0"/>
        <w:autoSpaceDN w:val="0"/>
        <w:adjustRightInd w:val="0"/>
        <w:spacing w:after="0" w:line="240" w:lineRule="auto"/>
        <w:jc w:val="both"/>
        <w:rPr>
          <w:rFonts w:ascii="Arial" w:hAnsi="Arial" w:cs="Arial"/>
        </w:rPr>
      </w:pPr>
    </w:p>
    <w:p w14:paraId="1C62C62B" w14:textId="77777777" w:rsidR="00195FFD" w:rsidRPr="00A94C62" w:rsidRDefault="00195FFD" w:rsidP="00886CE3">
      <w:pPr>
        <w:pStyle w:val="NormalWeb"/>
        <w:spacing w:before="0" w:beforeAutospacing="0" w:after="0" w:afterAutospacing="0"/>
        <w:jc w:val="both"/>
        <w:rPr>
          <w:rFonts w:ascii="Arial" w:hAnsi="Arial" w:cs="Arial"/>
          <w:sz w:val="22"/>
          <w:szCs w:val="22"/>
        </w:rPr>
      </w:pPr>
    </w:p>
    <w:p w14:paraId="43AB35B2" w14:textId="73A78521" w:rsidR="007F4C36" w:rsidRPr="00A976C8" w:rsidRDefault="005365BE" w:rsidP="00886CE3">
      <w:pPr>
        <w:pStyle w:val="NormalWeb"/>
        <w:spacing w:before="0" w:beforeAutospacing="0" w:after="0" w:afterAutospacing="0"/>
        <w:jc w:val="both"/>
        <w:rPr>
          <w:rFonts w:ascii="Arial" w:hAnsi="Arial" w:cs="Arial"/>
          <w:sz w:val="22"/>
          <w:szCs w:val="22"/>
        </w:rPr>
      </w:pPr>
      <w:r w:rsidRPr="00A94C62">
        <w:rPr>
          <w:rFonts w:ascii="Arial" w:hAnsi="Arial" w:cs="Arial"/>
          <w:sz w:val="22"/>
          <w:szCs w:val="22"/>
        </w:rPr>
        <w:t>De los honorables Congresistas</w:t>
      </w:r>
    </w:p>
    <w:p w14:paraId="7F63F387" w14:textId="48299837" w:rsidR="007F4C36" w:rsidRPr="00A94C62" w:rsidRDefault="007F4C36" w:rsidP="00886CE3">
      <w:pPr>
        <w:pStyle w:val="NormalWeb"/>
        <w:spacing w:before="0" w:beforeAutospacing="0" w:after="0" w:afterAutospacing="0"/>
        <w:jc w:val="both"/>
        <w:rPr>
          <w:rFonts w:ascii="Arial" w:hAnsi="Arial" w:cs="Arial"/>
          <w:color w:val="000000"/>
          <w:sz w:val="22"/>
          <w:szCs w:val="22"/>
        </w:rPr>
      </w:pPr>
    </w:p>
    <w:p w14:paraId="17C60DD4" w14:textId="086EEC92" w:rsidR="00026E18" w:rsidRDefault="00026E18" w:rsidP="00886CE3">
      <w:pPr>
        <w:spacing w:after="0" w:line="240" w:lineRule="auto"/>
        <w:jc w:val="right"/>
        <w:rPr>
          <w:rFonts w:ascii="Arial" w:hAnsi="Arial" w:cs="Arial"/>
          <w:bCs/>
        </w:rPr>
      </w:pPr>
    </w:p>
    <w:p w14:paraId="22764DF8" w14:textId="2F99EE06" w:rsidR="00717E0D" w:rsidRDefault="00717E0D" w:rsidP="00886CE3">
      <w:pPr>
        <w:spacing w:after="0" w:line="240" w:lineRule="auto"/>
        <w:jc w:val="right"/>
        <w:rPr>
          <w:rFonts w:ascii="Arial" w:hAnsi="Arial" w:cs="Arial"/>
          <w:bCs/>
        </w:rPr>
      </w:pPr>
    </w:p>
    <w:p w14:paraId="3F4D283B" w14:textId="1B02897E" w:rsidR="00717E0D" w:rsidRPr="00A94C62" w:rsidRDefault="00717E0D" w:rsidP="00886CE3">
      <w:pPr>
        <w:spacing w:after="0" w:line="240" w:lineRule="auto"/>
        <w:jc w:val="right"/>
        <w:rPr>
          <w:rFonts w:ascii="Arial" w:hAnsi="Arial" w:cs="Arial"/>
          <w:bCs/>
        </w:rPr>
      </w:pPr>
    </w:p>
    <w:p w14:paraId="22BE1AF7" w14:textId="24C2B4B7" w:rsidR="00E948FB" w:rsidRPr="00A94C62" w:rsidRDefault="00E948FB" w:rsidP="00886CE3">
      <w:pPr>
        <w:spacing w:after="0" w:line="240" w:lineRule="auto"/>
        <w:jc w:val="center"/>
        <w:rPr>
          <w:rFonts w:ascii="Arial" w:hAnsi="Arial" w:cs="Arial"/>
          <w:b/>
        </w:rPr>
      </w:pPr>
    </w:p>
    <w:p w14:paraId="38486119" w14:textId="4BC1C656" w:rsidR="00432676" w:rsidRPr="00432676" w:rsidRDefault="006A1683" w:rsidP="00432676">
      <w:pPr>
        <w:spacing w:after="0" w:line="240" w:lineRule="auto"/>
        <w:jc w:val="center"/>
        <w:rPr>
          <w:rFonts w:ascii="Arial" w:hAnsi="Arial" w:cs="Arial"/>
          <w:b/>
        </w:rPr>
      </w:pPr>
      <w:r>
        <w:rPr>
          <w:rFonts w:ascii="Arial" w:hAnsi="Arial" w:cs="Arial"/>
          <w:bCs/>
          <w:noProof/>
        </w:rPr>
        <w:drawing>
          <wp:anchor distT="0" distB="0" distL="114300" distR="114300" simplePos="0" relativeHeight="251659264" behindDoc="0" locked="0" layoutInCell="1" allowOverlap="1" wp14:anchorId="1B33BA3C" wp14:editId="5C68FEC8">
            <wp:simplePos x="0" y="0"/>
            <wp:positionH relativeFrom="column">
              <wp:posOffset>2819400</wp:posOffset>
            </wp:positionH>
            <wp:positionV relativeFrom="paragraph">
              <wp:posOffset>181196</wp:posOffset>
            </wp:positionV>
            <wp:extent cx="2832100" cy="137160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extLst>
                        <a:ext uri="{28A0092B-C50C-407E-A947-70E740481C1C}">
                          <a14:useLocalDpi xmlns:a14="http://schemas.microsoft.com/office/drawing/2010/main" val="0"/>
                        </a:ext>
                      </a:extLst>
                    </a:blip>
                    <a:stretch>
                      <a:fillRect/>
                    </a:stretch>
                  </pic:blipFill>
                  <pic:spPr>
                    <a:xfrm>
                      <a:off x="0" y="0"/>
                      <a:ext cx="2832100" cy="1371600"/>
                    </a:xfrm>
                    <a:prstGeom prst="rect">
                      <a:avLst/>
                    </a:prstGeom>
                  </pic:spPr>
                </pic:pic>
              </a:graphicData>
            </a:graphic>
            <wp14:sizeRelH relativeFrom="margin">
              <wp14:pctWidth>0</wp14:pctWidth>
            </wp14:sizeRelH>
            <wp14:sizeRelV relativeFrom="margin">
              <wp14:pctHeight>0</wp14:pctHeight>
            </wp14:sizeRelV>
          </wp:anchor>
        </w:drawing>
      </w:r>
      <w:r w:rsidR="005365BE" w:rsidRPr="00A94C62">
        <w:rPr>
          <w:rFonts w:ascii="Arial" w:hAnsi="Arial" w:cs="Arial"/>
          <w:b/>
        </w:rPr>
        <w:t xml:space="preserve">CONCILIADORES </w:t>
      </w:r>
    </w:p>
    <w:p w14:paraId="144E1033" w14:textId="2F866696" w:rsidR="005365BE" w:rsidRPr="00A94C62" w:rsidRDefault="00A976C8" w:rsidP="00A976C8">
      <w:pPr>
        <w:spacing w:after="0" w:line="240" w:lineRule="auto"/>
        <w:rPr>
          <w:rFonts w:ascii="Arial" w:hAnsi="Arial" w:cs="Arial"/>
          <w:bCs/>
        </w:rPr>
      </w:pPr>
      <w:r>
        <w:rPr>
          <w:rFonts w:ascii="Arial" w:hAnsi="Arial" w:cs="Arial"/>
          <w:bCs/>
          <w:noProof/>
        </w:rPr>
        <w:drawing>
          <wp:anchor distT="0" distB="0" distL="114300" distR="114300" simplePos="0" relativeHeight="251660288" behindDoc="0" locked="0" layoutInCell="1" allowOverlap="1" wp14:anchorId="521A6268" wp14:editId="3BD5EC81">
            <wp:simplePos x="0" y="0"/>
            <wp:positionH relativeFrom="column">
              <wp:posOffset>0</wp:posOffset>
            </wp:positionH>
            <wp:positionV relativeFrom="paragraph">
              <wp:posOffset>158750</wp:posOffset>
            </wp:positionV>
            <wp:extent cx="3098800" cy="1358900"/>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9">
                      <a:extLst>
                        <a:ext uri="{28A0092B-C50C-407E-A947-70E740481C1C}">
                          <a14:useLocalDpi xmlns:a14="http://schemas.microsoft.com/office/drawing/2010/main" val="0"/>
                        </a:ext>
                      </a:extLst>
                    </a:blip>
                    <a:stretch>
                      <a:fillRect/>
                    </a:stretch>
                  </pic:blipFill>
                  <pic:spPr>
                    <a:xfrm>
                      <a:off x="0" y="0"/>
                      <a:ext cx="3098800" cy="1358900"/>
                    </a:xfrm>
                    <a:prstGeom prst="rect">
                      <a:avLst/>
                    </a:prstGeom>
                  </pic:spPr>
                </pic:pic>
              </a:graphicData>
            </a:graphic>
          </wp:anchor>
        </w:drawing>
      </w: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544E3" w:rsidRPr="00A94C62" w14:paraId="7FEA5719" w14:textId="77777777" w:rsidTr="008544E3">
        <w:tc>
          <w:tcPr>
            <w:tcW w:w="4414" w:type="dxa"/>
          </w:tcPr>
          <w:p w14:paraId="6B75745A" w14:textId="37B92736" w:rsidR="008544E3" w:rsidRPr="00A94C62" w:rsidRDefault="008544E3" w:rsidP="008544E3">
            <w:pPr>
              <w:jc w:val="center"/>
              <w:rPr>
                <w:rFonts w:ascii="Arial" w:hAnsi="Arial" w:cs="Arial"/>
                <w:b/>
                <w:bCs/>
              </w:rPr>
            </w:pPr>
            <w:r w:rsidRPr="00A94C62">
              <w:rPr>
                <w:rFonts w:ascii="Arial" w:hAnsi="Arial" w:cs="Arial"/>
                <w:b/>
                <w:bCs/>
              </w:rPr>
              <w:t xml:space="preserve">JOHN JAIRO </w:t>
            </w:r>
            <w:r w:rsidR="000F35EB" w:rsidRPr="00A94C62">
              <w:rPr>
                <w:rFonts w:ascii="Arial" w:hAnsi="Arial" w:cs="Arial"/>
                <w:b/>
                <w:bCs/>
              </w:rPr>
              <w:t>CÁRDENAS</w:t>
            </w:r>
            <w:r w:rsidR="00CD4F38" w:rsidRPr="00A94C62">
              <w:rPr>
                <w:rFonts w:ascii="Arial" w:hAnsi="Arial" w:cs="Arial"/>
                <w:b/>
                <w:bCs/>
              </w:rPr>
              <w:t xml:space="preserve"> MORAN</w:t>
            </w:r>
          </w:p>
          <w:p w14:paraId="14653607" w14:textId="00387597" w:rsidR="008544E3" w:rsidRPr="00A94C62" w:rsidRDefault="008544E3" w:rsidP="008544E3">
            <w:pPr>
              <w:jc w:val="center"/>
              <w:rPr>
                <w:rFonts w:ascii="Arial" w:hAnsi="Arial" w:cs="Arial"/>
              </w:rPr>
            </w:pPr>
            <w:r w:rsidRPr="00A94C62">
              <w:rPr>
                <w:rFonts w:ascii="Arial" w:hAnsi="Arial" w:cs="Arial"/>
              </w:rPr>
              <w:t>Representante a la Cámara</w:t>
            </w:r>
          </w:p>
        </w:tc>
        <w:tc>
          <w:tcPr>
            <w:tcW w:w="4414" w:type="dxa"/>
          </w:tcPr>
          <w:p w14:paraId="377ACA66" w14:textId="75CFF2CA" w:rsidR="000F35EB" w:rsidRPr="00A94C62" w:rsidRDefault="000F35EB" w:rsidP="008544E3">
            <w:pPr>
              <w:jc w:val="center"/>
              <w:rPr>
                <w:rFonts w:ascii="Arial" w:hAnsi="Arial" w:cs="Arial"/>
                <w:b/>
                <w:bCs/>
              </w:rPr>
            </w:pPr>
            <w:r w:rsidRPr="00A94C62">
              <w:rPr>
                <w:rFonts w:ascii="Arial" w:hAnsi="Arial" w:cs="Arial"/>
                <w:b/>
                <w:bCs/>
              </w:rPr>
              <w:t>EFRAÍN JOSÉ CEPEDA SANABRIA</w:t>
            </w:r>
          </w:p>
          <w:p w14:paraId="4D00A104" w14:textId="2694D9F8" w:rsidR="008544E3" w:rsidRPr="00A94C62" w:rsidRDefault="008544E3" w:rsidP="008544E3">
            <w:pPr>
              <w:jc w:val="center"/>
              <w:rPr>
                <w:rFonts w:ascii="Arial" w:hAnsi="Arial" w:cs="Arial"/>
                <w:b/>
                <w:highlight w:val="yellow"/>
              </w:rPr>
            </w:pPr>
            <w:r w:rsidRPr="00A94C62">
              <w:rPr>
                <w:rFonts w:ascii="Arial" w:hAnsi="Arial" w:cs="Arial"/>
              </w:rPr>
              <w:t>Senador de la República</w:t>
            </w:r>
          </w:p>
        </w:tc>
      </w:tr>
      <w:tr w:rsidR="008544E3" w:rsidRPr="00A94C62" w14:paraId="372D99E3" w14:textId="77777777" w:rsidTr="008544E3">
        <w:tc>
          <w:tcPr>
            <w:tcW w:w="4414" w:type="dxa"/>
          </w:tcPr>
          <w:p w14:paraId="5C1C4D78" w14:textId="77777777" w:rsidR="008544E3" w:rsidRPr="00A94C62" w:rsidRDefault="008544E3" w:rsidP="008544E3">
            <w:pPr>
              <w:jc w:val="center"/>
              <w:rPr>
                <w:rFonts w:ascii="Arial" w:hAnsi="Arial" w:cs="Arial"/>
                <w:bCs/>
              </w:rPr>
            </w:pPr>
          </w:p>
        </w:tc>
        <w:tc>
          <w:tcPr>
            <w:tcW w:w="4414" w:type="dxa"/>
          </w:tcPr>
          <w:p w14:paraId="798ABD5D" w14:textId="77777777" w:rsidR="008544E3" w:rsidRPr="00A94C62" w:rsidRDefault="008544E3" w:rsidP="008544E3">
            <w:pPr>
              <w:jc w:val="center"/>
              <w:rPr>
                <w:rFonts w:ascii="Arial" w:hAnsi="Arial" w:cs="Arial"/>
                <w:bCs/>
              </w:rPr>
            </w:pPr>
          </w:p>
        </w:tc>
      </w:tr>
    </w:tbl>
    <w:p w14:paraId="7A9B5486" w14:textId="77777777" w:rsidR="005365BE" w:rsidRPr="00A94C62" w:rsidRDefault="005365BE" w:rsidP="00886CE3">
      <w:pPr>
        <w:spacing w:after="0" w:line="240" w:lineRule="auto"/>
        <w:jc w:val="center"/>
        <w:rPr>
          <w:rFonts w:ascii="Arial" w:hAnsi="Arial" w:cs="Arial"/>
          <w:bCs/>
        </w:rPr>
      </w:pPr>
    </w:p>
    <w:p w14:paraId="49646A3A" w14:textId="1136438C" w:rsidR="005365BE" w:rsidRDefault="005365BE" w:rsidP="00886CE3">
      <w:pPr>
        <w:spacing w:after="0" w:line="240" w:lineRule="auto"/>
        <w:jc w:val="right"/>
        <w:rPr>
          <w:rFonts w:ascii="Arial" w:hAnsi="Arial" w:cs="Arial"/>
          <w:bCs/>
        </w:rPr>
      </w:pPr>
    </w:p>
    <w:p w14:paraId="69CA1405" w14:textId="77777777" w:rsidR="00717E0D" w:rsidRPr="00A94C62" w:rsidRDefault="00717E0D" w:rsidP="00886CE3">
      <w:pPr>
        <w:spacing w:after="0" w:line="240" w:lineRule="auto"/>
        <w:jc w:val="right"/>
        <w:rPr>
          <w:rFonts w:ascii="Arial" w:hAnsi="Arial" w:cs="Arial"/>
          <w:bCs/>
        </w:rPr>
      </w:pPr>
    </w:p>
    <w:p w14:paraId="3DA964B5" w14:textId="77777777" w:rsidR="00E948FB" w:rsidRPr="00A94C62" w:rsidRDefault="00E948FB" w:rsidP="00A94C62">
      <w:pPr>
        <w:spacing w:after="0" w:line="240" w:lineRule="auto"/>
        <w:rPr>
          <w:rFonts w:ascii="Arial" w:hAnsi="Arial" w:cs="Arial"/>
          <w:b/>
        </w:rPr>
      </w:pPr>
    </w:p>
    <w:p w14:paraId="1410CD21" w14:textId="662357F2" w:rsidR="001F34B6" w:rsidRPr="00A94C62" w:rsidRDefault="001F34B6" w:rsidP="00886CE3">
      <w:pPr>
        <w:spacing w:after="0" w:line="240" w:lineRule="auto"/>
        <w:jc w:val="center"/>
        <w:rPr>
          <w:rFonts w:ascii="Arial" w:hAnsi="Arial" w:cs="Arial"/>
          <w:b/>
          <w:bCs/>
        </w:rPr>
      </w:pPr>
      <w:r w:rsidRPr="00A94C62">
        <w:rPr>
          <w:rFonts w:ascii="Arial" w:hAnsi="Arial" w:cs="Arial"/>
          <w:b/>
        </w:rPr>
        <w:t>TEXTO CONCILIADO DEL PROYECTO DE LEY NÚMERO</w:t>
      </w:r>
      <w:r w:rsidRPr="00A94C62">
        <w:rPr>
          <w:rFonts w:ascii="Arial" w:hAnsi="Arial" w:cs="Arial"/>
          <w:bCs/>
        </w:rPr>
        <w:t xml:space="preserve"> </w:t>
      </w:r>
      <w:r w:rsidR="00391F31" w:rsidRPr="00A94C62">
        <w:rPr>
          <w:rFonts w:ascii="Arial" w:hAnsi="Arial" w:cs="Arial"/>
          <w:b/>
          <w:bCs/>
        </w:rPr>
        <w:t>482 DE 2021 SENADO</w:t>
      </w:r>
      <w:r w:rsidRPr="00A94C62">
        <w:rPr>
          <w:rFonts w:ascii="Arial" w:hAnsi="Arial" w:cs="Arial"/>
          <w:b/>
          <w:bCs/>
        </w:rPr>
        <w:t xml:space="preserve"> </w:t>
      </w:r>
      <w:r w:rsidR="000A0C42">
        <w:rPr>
          <w:rFonts w:ascii="Arial" w:hAnsi="Arial" w:cs="Arial"/>
          <w:b/>
          <w:bCs/>
        </w:rPr>
        <w:t>-</w:t>
      </w:r>
      <w:r w:rsidRPr="00A94C62">
        <w:rPr>
          <w:rFonts w:ascii="Arial" w:hAnsi="Arial" w:cs="Arial"/>
          <w:b/>
          <w:bCs/>
        </w:rPr>
        <w:t xml:space="preserve"> </w:t>
      </w:r>
      <w:r w:rsidR="00391F31" w:rsidRPr="00A94C62">
        <w:rPr>
          <w:rFonts w:ascii="Arial" w:hAnsi="Arial" w:cs="Arial"/>
          <w:b/>
          <w:bCs/>
        </w:rPr>
        <w:t>625 DE 2021 CÁMARA</w:t>
      </w:r>
    </w:p>
    <w:p w14:paraId="47D54542" w14:textId="4B39822F" w:rsidR="001F34B6" w:rsidRPr="00A94C62" w:rsidRDefault="001F34B6" w:rsidP="00886CE3">
      <w:pPr>
        <w:spacing w:after="0" w:line="240" w:lineRule="auto"/>
        <w:jc w:val="center"/>
        <w:rPr>
          <w:rFonts w:ascii="Arial" w:hAnsi="Arial" w:cs="Arial"/>
          <w:b/>
          <w:bCs/>
        </w:rPr>
      </w:pPr>
    </w:p>
    <w:p w14:paraId="78441325" w14:textId="25039E69" w:rsidR="001F34B6" w:rsidRPr="00A94C62" w:rsidRDefault="001F34B6" w:rsidP="00886CE3">
      <w:pPr>
        <w:spacing w:after="0" w:line="240" w:lineRule="auto"/>
        <w:jc w:val="center"/>
        <w:rPr>
          <w:rFonts w:ascii="Arial" w:hAnsi="Arial" w:cs="Arial"/>
          <w:b/>
          <w:bCs/>
        </w:rPr>
      </w:pPr>
    </w:p>
    <w:p w14:paraId="16E0EE0D" w14:textId="77777777" w:rsidR="00391F31" w:rsidRPr="00A94C62" w:rsidRDefault="00391F31" w:rsidP="00886CE3">
      <w:pPr>
        <w:spacing w:after="0" w:line="240" w:lineRule="auto"/>
        <w:jc w:val="center"/>
        <w:rPr>
          <w:rFonts w:ascii="Arial" w:hAnsi="Arial" w:cs="Arial"/>
          <w:b/>
          <w:bCs/>
        </w:rPr>
      </w:pPr>
    </w:p>
    <w:p w14:paraId="6AF6BE66" w14:textId="4EBC529A" w:rsidR="001F34B6" w:rsidRPr="00A94C62" w:rsidRDefault="00391F31" w:rsidP="00A94C62">
      <w:pPr>
        <w:spacing w:after="0" w:line="240" w:lineRule="auto"/>
        <w:jc w:val="center"/>
        <w:outlineLvl w:val="0"/>
        <w:rPr>
          <w:rFonts w:ascii="Arial" w:hAnsi="Arial" w:cs="Arial"/>
          <w:b/>
          <w:bCs/>
        </w:rPr>
      </w:pPr>
      <w:r w:rsidRPr="00A94C62">
        <w:rPr>
          <w:rFonts w:ascii="Arial" w:hAnsi="Arial" w:cs="Arial"/>
          <w:b/>
          <w:bCs/>
        </w:rPr>
        <w:t>“por medio de la cual se modifican las Leyes 488 de 1998 y 788 de 2002”</w:t>
      </w:r>
    </w:p>
    <w:p w14:paraId="1AAD2E70" w14:textId="4E191C46" w:rsidR="00391F31" w:rsidRPr="00A94C62" w:rsidRDefault="00391F31" w:rsidP="00886CE3">
      <w:pPr>
        <w:spacing w:after="0" w:line="240" w:lineRule="auto"/>
        <w:outlineLvl w:val="0"/>
        <w:rPr>
          <w:rFonts w:ascii="Arial" w:hAnsi="Arial" w:cs="Arial"/>
          <w:b/>
          <w:bCs/>
        </w:rPr>
      </w:pPr>
    </w:p>
    <w:p w14:paraId="345E8212" w14:textId="77777777" w:rsidR="00391F31" w:rsidRPr="00A94C62" w:rsidRDefault="00391F31" w:rsidP="00886CE3">
      <w:pPr>
        <w:spacing w:after="0" w:line="240" w:lineRule="auto"/>
        <w:outlineLvl w:val="0"/>
        <w:rPr>
          <w:rFonts w:ascii="Arial" w:hAnsi="Arial" w:cs="Arial"/>
          <w:b/>
          <w:bCs/>
        </w:rPr>
      </w:pPr>
    </w:p>
    <w:p w14:paraId="24457470" w14:textId="0FEB84B1" w:rsidR="00391F31" w:rsidRDefault="00391F31" w:rsidP="00A94C62">
      <w:pPr>
        <w:spacing w:after="0" w:line="240" w:lineRule="auto"/>
        <w:jc w:val="center"/>
        <w:outlineLvl w:val="0"/>
        <w:rPr>
          <w:rFonts w:ascii="Arial" w:hAnsi="Arial" w:cs="Arial"/>
          <w:b/>
          <w:bCs/>
        </w:rPr>
      </w:pPr>
      <w:r w:rsidRPr="00A94C62">
        <w:rPr>
          <w:rFonts w:ascii="Arial" w:hAnsi="Arial" w:cs="Arial"/>
          <w:b/>
          <w:bCs/>
        </w:rPr>
        <w:t>EL CONGRESO DE LA REPÚBLICA DE COLOMBIA</w:t>
      </w:r>
    </w:p>
    <w:p w14:paraId="594E272E" w14:textId="77777777" w:rsidR="00A94C62" w:rsidRPr="00A94C62" w:rsidRDefault="00A94C62" w:rsidP="00A94C62">
      <w:pPr>
        <w:spacing w:after="0" w:line="240" w:lineRule="auto"/>
        <w:jc w:val="center"/>
        <w:outlineLvl w:val="0"/>
        <w:rPr>
          <w:rFonts w:ascii="Arial" w:hAnsi="Arial" w:cs="Arial"/>
          <w:b/>
          <w:bCs/>
        </w:rPr>
      </w:pPr>
    </w:p>
    <w:p w14:paraId="77F75AB2" w14:textId="3BBEDD88" w:rsidR="00391F31" w:rsidRPr="00A94C62" w:rsidRDefault="00391F31" w:rsidP="00A94C62">
      <w:pPr>
        <w:spacing w:after="0" w:line="240" w:lineRule="auto"/>
        <w:jc w:val="center"/>
        <w:outlineLvl w:val="0"/>
        <w:rPr>
          <w:rFonts w:ascii="Arial" w:hAnsi="Arial" w:cs="Arial"/>
          <w:b/>
          <w:bCs/>
        </w:rPr>
      </w:pPr>
      <w:r w:rsidRPr="00A94C62">
        <w:rPr>
          <w:rFonts w:ascii="Arial" w:hAnsi="Arial" w:cs="Arial"/>
          <w:b/>
          <w:bCs/>
        </w:rPr>
        <w:t>DECRETA</w:t>
      </w:r>
    </w:p>
    <w:p w14:paraId="4F0C6816" w14:textId="77777777" w:rsidR="00195FFD" w:rsidRPr="00A94C62" w:rsidRDefault="00195FFD" w:rsidP="00886CE3">
      <w:pPr>
        <w:spacing w:after="0" w:line="240" w:lineRule="auto"/>
        <w:outlineLvl w:val="0"/>
        <w:rPr>
          <w:rFonts w:ascii="Arial" w:hAnsi="Arial" w:cs="Arial"/>
          <w:b/>
          <w:bCs/>
        </w:rPr>
      </w:pPr>
    </w:p>
    <w:p w14:paraId="17CCD86A" w14:textId="289710FC" w:rsidR="005365BE" w:rsidRPr="00A94C62" w:rsidRDefault="005365BE" w:rsidP="00886CE3">
      <w:pPr>
        <w:spacing w:after="0" w:line="240" w:lineRule="auto"/>
        <w:jc w:val="right"/>
        <w:rPr>
          <w:rFonts w:ascii="Arial" w:hAnsi="Arial" w:cs="Arial"/>
          <w:bCs/>
        </w:rPr>
      </w:pPr>
    </w:p>
    <w:p w14:paraId="3E949D8E" w14:textId="77777777" w:rsidR="00391F31" w:rsidRPr="00A94C62" w:rsidRDefault="00391F31" w:rsidP="00391F31">
      <w:pPr>
        <w:spacing w:after="0" w:line="240" w:lineRule="auto"/>
        <w:jc w:val="both"/>
        <w:rPr>
          <w:rFonts w:ascii="Arial" w:hAnsi="Arial" w:cs="Arial"/>
          <w:bCs/>
        </w:rPr>
      </w:pPr>
      <w:r w:rsidRPr="00A94C62">
        <w:rPr>
          <w:rFonts w:ascii="Arial" w:hAnsi="Arial" w:cs="Arial"/>
          <w:b/>
        </w:rPr>
        <w:t>ARTÍCULO 1.</w:t>
      </w:r>
      <w:r w:rsidRPr="00A94C62">
        <w:rPr>
          <w:rFonts w:ascii="Arial" w:hAnsi="Arial" w:cs="Arial"/>
          <w:bCs/>
        </w:rPr>
        <w:t xml:space="preserve"> Modifíquese el artículo 117 de la Ley 488 de 1998, el cual quedará así:</w:t>
      </w:r>
    </w:p>
    <w:p w14:paraId="666D379C" w14:textId="77777777" w:rsidR="00391F31" w:rsidRPr="00A94C62" w:rsidRDefault="00391F31" w:rsidP="00391F31">
      <w:pPr>
        <w:spacing w:after="0" w:line="240" w:lineRule="auto"/>
        <w:jc w:val="both"/>
        <w:rPr>
          <w:rFonts w:ascii="Arial" w:hAnsi="Arial" w:cs="Arial"/>
          <w:bCs/>
        </w:rPr>
      </w:pPr>
    </w:p>
    <w:p w14:paraId="06FB5283" w14:textId="77777777" w:rsidR="00391F31" w:rsidRPr="00A94C62" w:rsidRDefault="00391F31" w:rsidP="00391F31">
      <w:pPr>
        <w:spacing w:after="0" w:line="240" w:lineRule="auto"/>
        <w:ind w:left="708"/>
        <w:jc w:val="both"/>
        <w:rPr>
          <w:rFonts w:ascii="Arial" w:hAnsi="Arial" w:cs="Arial"/>
          <w:bCs/>
        </w:rPr>
      </w:pPr>
      <w:r w:rsidRPr="00A94C62">
        <w:rPr>
          <w:rFonts w:ascii="Arial" w:hAnsi="Arial" w:cs="Arial"/>
          <w:b/>
        </w:rPr>
        <w:t>ARTÍCULO 117°.</w:t>
      </w:r>
      <w:r w:rsidRPr="00A94C62">
        <w:rPr>
          <w:rFonts w:ascii="Arial" w:hAnsi="Arial" w:cs="Arial"/>
          <w:bCs/>
        </w:rPr>
        <w:t xml:space="preserve"> </w:t>
      </w:r>
      <w:r w:rsidRPr="00A94C62">
        <w:rPr>
          <w:rFonts w:ascii="Arial" w:hAnsi="Arial" w:cs="Arial"/>
          <w:b/>
        </w:rPr>
        <w:t>Sobretasa a la gasolina motor y al ACPM</w:t>
      </w:r>
      <w:r w:rsidRPr="00A94C62">
        <w:rPr>
          <w:rFonts w:ascii="Arial" w:hAnsi="Arial" w:cs="Arial"/>
          <w:bCs/>
        </w:rPr>
        <w:t>. Autorícese a los municipios, distritos y departamentos, para adoptar la sobretasa a la gasolina motor extra y corriente, en las condiciones establecidas en la presente ley.</w:t>
      </w:r>
    </w:p>
    <w:p w14:paraId="72992236" w14:textId="77777777" w:rsidR="00391F31" w:rsidRPr="00A94C62" w:rsidRDefault="00391F31" w:rsidP="00391F31">
      <w:pPr>
        <w:spacing w:after="0" w:line="240" w:lineRule="auto"/>
        <w:ind w:left="708"/>
        <w:jc w:val="both"/>
        <w:rPr>
          <w:rFonts w:ascii="Arial" w:hAnsi="Arial" w:cs="Arial"/>
          <w:bCs/>
        </w:rPr>
      </w:pPr>
    </w:p>
    <w:p w14:paraId="77C25B6A" w14:textId="77777777" w:rsidR="00391F31" w:rsidRPr="00A94C62" w:rsidRDefault="00391F31" w:rsidP="00391F31">
      <w:pPr>
        <w:spacing w:after="0" w:line="240" w:lineRule="auto"/>
        <w:ind w:left="708"/>
        <w:jc w:val="both"/>
        <w:rPr>
          <w:rFonts w:ascii="Arial" w:hAnsi="Arial" w:cs="Arial"/>
          <w:bCs/>
        </w:rPr>
      </w:pPr>
      <w:r w:rsidRPr="00A94C62">
        <w:rPr>
          <w:rFonts w:ascii="Arial" w:hAnsi="Arial" w:cs="Arial"/>
          <w:bCs/>
        </w:rPr>
        <w:t>Créase como contribución nacional la sobretasa al ACPM. La sobretasa al ACPM será cobrada por la Nación y distribuida en un cincuenta por ciento (50%) para el mantenimiento de la red vial nacional y otro cincuenta por ciento (50%) para los departamentos incluido el Distrito Capital con destino al mantenimiento de la red vial. La base gravable, el hecho generador, la declaración, el pago, la causación y los otros aspectos técnicos serán iguales a los de la sobretasa de la gasolina, en lo que no sea expresamente definido para la sobretasa al ACPM.</w:t>
      </w:r>
    </w:p>
    <w:p w14:paraId="7639DDA0" w14:textId="77777777" w:rsidR="00391F31" w:rsidRPr="00A94C62" w:rsidRDefault="00391F31" w:rsidP="00391F31">
      <w:pPr>
        <w:spacing w:after="0" w:line="240" w:lineRule="auto"/>
        <w:ind w:left="708"/>
        <w:jc w:val="both"/>
        <w:rPr>
          <w:rFonts w:ascii="Arial" w:hAnsi="Arial" w:cs="Arial"/>
          <w:bCs/>
        </w:rPr>
      </w:pPr>
    </w:p>
    <w:p w14:paraId="24F84786" w14:textId="2168172B" w:rsidR="00391F31" w:rsidRPr="00A94C62" w:rsidRDefault="00391F31" w:rsidP="00391F31">
      <w:pPr>
        <w:spacing w:after="0" w:line="240" w:lineRule="auto"/>
        <w:ind w:left="708"/>
        <w:jc w:val="both"/>
        <w:rPr>
          <w:rFonts w:ascii="Arial" w:hAnsi="Arial" w:cs="Arial"/>
          <w:bCs/>
        </w:rPr>
      </w:pPr>
      <w:r w:rsidRPr="00A94C62">
        <w:rPr>
          <w:rFonts w:ascii="Arial" w:hAnsi="Arial" w:cs="Arial"/>
          <w:b/>
        </w:rPr>
        <w:t>Parágrafo transitorio</w:t>
      </w:r>
      <w:r w:rsidRPr="00A94C62">
        <w:rPr>
          <w:rFonts w:ascii="Arial" w:hAnsi="Arial" w:cs="Arial"/>
          <w:bCs/>
        </w:rPr>
        <w:t>. Las condiciones de distribución de la sobretasa al ACPM dispuestas en el inciso segundo de este artículo entrarán en vigencia a partir del 1 de enero de 2022. Las disposiciones contenidas en el artículo 8 del Decreto Legislativo 678 de 2020 permanecerán vigentes hasta que se cumpla el plazo allí establecido, esto es, hasta el periodo gravable diciembre de 2021.</w:t>
      </w:r>
    </w:p>
    <w:p w14:paraId="314D80EC" w14:textId="77777777" w:rsidR="00391F31" w:rsidRPr="00A94C62" w:rsidRDefault="00391F31" w:rsidP="00391F31">
      <w:pPr>
        <w:spacing w:after="0" w:line="240" w:lineRule="auto"/>
        <w:jc w:val="both"/>
        <w:rPr>
          <w:rFonts w:ascii="Arial" w:hAnsi="Arial" w:cs="Arial"/>
          <w:bCs/>
        </w:rPr>
      </w:pPr>
    </w:p>
    <w:p w14:paraId="63DCB805" w14:textId="77777777" w:rsidR="00391F31" w:rsidRPr="00A94C62" w:rsidRDefault="00391F31" w:rsidP="00391F31">
      <w:pPr>
        <w:spacing w:after="0" w:line="240" w:lineRule="auto"/>
        <w:jc w:val="both"/>
        <w:rPr>
          <w:rFonts w:ascii="Arial" w:hAnsi="Arial" w:cs="Arial"/>
          <w:bCs/>
        </w:rPr>
      </w:pPr>
      <w:r w:rsidRPr="00A94C62">
        <w:rPr>
          <w:rFonts w:ascii="Arial" w:hAnsi="Arial" w:cs="Arial"/>
          <w:b/>
        </w:rPr>
        <w:t>ARTÍCULO 2.</w:t>
      </w:r>
      <w:r w:rsidRPr="00A94C62">
        <w:rPr>
          <w:rFonts w:ascii="Arial" w:hAnsi="Arial" w:cs="Arial"/>
          <w:bCs/>
        </w:rPr>
        <w:t xml:space="preserve"> Adiciónese el artículo 121A a la Ley 488 de 1998, así:</w:t>
      </w:r>
    </w:p>
    <w:p w14:paraId="258C7794" w14:textId="77777777" w:rsidR="00391F31" w:rsidRPr="00A94C62" w:rsidRDefault="00391F31" w:rsidP="00391F31">
      <w:pPr>
        <w:spacing w:after="0" w:line="240" w:lineRule="auto"/>
        <w:jc w:val="both"/>
        <w:rPr>
          <w:rFonts w:ascii="Arial" w:hAnsi="Arial" w:cs="Arial"/>
          <w:bCs/>
        </w:rPr>
      </w:pPr>
    </w:p>
    <w:p w14:paraId="18D4217D" w14:textId="77777777" w:rsidR="00391F31" w:rsidRPr="00A94C62" w:rsidRDefault="00391F31" w:rsidP="00CD4F38">
      <w:pPr>
        <w:spacing w:after="0" w:line="240" w:lineRule="auto"/>
        <w:ind w:left="708"/>
        <w:jc w:val="both"/>
        <w:rPr>
          <w:rFonts w:ascii="Arial" w:hAnsi="Arial" w:cs="Arial"/>
          <w:bCs/>
        </w:rPr>
      </w:pPr>
      <w:r w:rsidRPr="00A94C62">
        <w:rPr>
          <w:rFonts w:ascii="Arial" w:hAnsi="Arial" w:cs="Arial"/>
          <w:b/>
        </w:rPr>
        <w:t>ARTÍCULO 121A. Base gravable.</w:t>
      </w:r>
      <w:r w:rsidRPr="00A94C62">
        <w:rPr>
          <w:rFonts w:ascii="Arial" w:hAnsi="Arial" w:cs="Arial"/>
          <w:bCs/>
        </w:rPr>
        <w:t xml:space="preserve"> La base gravable de la sobretasa a la gasolina motor tanto extra como corriente, y de la sobretasa al ACPM, será el volumen del respectivo producto expresado en galones.</w:t>
      </w:r>
    </w:p>
    <w:p w14:paraId="1D157F25" w14:textId="77777777" w:rsidR="00391F31" w:rsidRPr="00A94C62" w:rsidRDefault="00391F31" w:rsidP="00CD4F38">
      <w:pPr>
        <w:spacing w:after="0" w:line="240" w:lineRule="auto"/>
        <w:ind w:left="708"/>
        <w:jc w:val="both"/>
        <w:rPr>
          <w:rFonts w:ascii="Arial" w:hAnsi="Arial" w:cs="Arial"/>
          <w:bCs/>
        </w:rPr>
      </w:pPr>
    </w:p>
    <w:p w14:paraId="1E5A2702" w14:textId="74F1B9F3" w:rsidR="00391F31" w:rsidRPr="00A94C62" w:rsidRDefault="00391F31" w:rsidP="000A0C42">
      <w:pPr>
        <w:spacing w:after="0" w:line="240" w:lineRule="auto"/>
        <w:ind w:left="708"/>
        <w:jc w:val="both"/>
        <w:rPr>
          <w:rFonts w:ascii="Arial" w:hAnsi="Arial" w:cs="Arial"/>
          <w:bCs/>
        </w:rPr>
      </w:pPr>
      <w:r w:rsidRPr="00A94C62">
        <w:rPr>
          <w:rFonts w:ascii="Arial" w:hAnsi="Arial" w:cs="Arial"/>
          <w:bCs/>
        </w:rPr>
        <w:t xml:space="preserve">Para la base gravable de la gasolina motor corriente y extra oxigenadas, no se incluirá el alcohol carburante en cumplimiento con la exención del artículo 88 de la Ley 788 de 2002. </w:t>
      </w:r>
    </w:p>
    <w:p w14:paraId="03973326" w14:textId="77777777" w:rsidR="00391F31" w:rsidRPr="00A94C62" w:rsidRDefault="00391F31" w:rsidP="00391F31">
      <w:pPr>
        <w:spacing w:after="0" w:line="240" w:lineRule="auto"/>
        <w:jc w:val="both"/>
        <w:rPr>
          <w:rFonts w:ascii="Arial" w:hAnsi="Arial" w:cs="Arial"/>
          <w:bCs/>
        </w:rPr>
      </w:pPr>
    </w:p>
    <w:p w14:paraId="5A91EDDA" w14:textId="77777777" w:rsidR="00391F31" w:rsidRPr="00A94C62" w:rsidRDefault="00391F31" w:rsidP="00391F31">
      <w:pPr>
        <w:spacing w:after="0" w:line="240" w:lineRule="auto"/>
        <w:jc w:val="both"/>
        <w:rPr>
          <w:rFonts w:ascii="Arial" w:hAnsi="Arial" w:cs="Arial"/>
          <w:bCs/>
        </w:rPr>
      </w:pPr>
      <w:r w:rsidRPr="00A94C62">
        <w:rPr>
          <w:rFonts w:ascii="Arial" w:hAnsi="Arial" w:cs="Arial"/>
          <w:b/>
        </w:rPr>
        <w:t>ARTÍCULO 3.</w:t>
      </w:r>
      <w:r w:rsidRPr="00A94C62">
        <w:rPr>
          <w:rFonts w:ascii="Arial" w:hAnsi="Arial" w:cs="Arial"/>
          <w:bCs/>
        </w:rPr>
        <w:t xml:space="preserve"> Modifíquese el artículo 55 de la Ley 788 de 2002, el cual quedará así:</w:t>
      </w:r>
    </w:p>
    <w:p w14:paraId="2B5EB51D" w14:textId="77777777" w:rsidR="00391F31" w:rsidRPr="00A94C62" w:rsidRDefault="00391F31" w:rsidP="00391F31">
      <w:pPr>
        <w:spacing w:after="0" w:line="240" w:lineRule="auto"/>
        <w:jc w:val="both"/>
        <w:rPr>
          <w:rFonts w:ascii="Arial" w:hAnsi="Arial" w:cs="Arial"/>
          <w:bCs/>
        </w:rPr>
      </w:pPr>
    </w:p>
    <w:p w14:paraId="6B56E91B" w14:textId="77777777" w:rsidR="00391F31" w:rsidRPr="00A94C62" w:rsidRDefault="00391F31" w:rsidP="00CD4F38">
      <w:pPr>
        <w:spacing w:after="0" w:line="240" w:lineRule="auto"/>
        <w:ind w:left="708"/>
        <w:jc w:val="both"/>
        <w:rPr>
          <w:rFonts w:ascii="Arial" w:hAnsi="Arial" w:cs="Arial"/>
          <w:bCs/>
        </w:rPr>
      </w:pPr>
      <w:r w:rsidRPr="00A94C62">
        <w:rPr>
          <w:rFonts w:ascii="Arial" w:hAnsi="Arial" w:cs="Arial"/>
          <w:b/>
        </w:rPr>
        <w:t>ARTÍCULO 55. Tarifas.</w:t>
      </w:r>
      <w:r w:rsidRPr="00A94C62">
        <w:rPr>
          <w:rFonts w:ascii="Arial" w:hAnsi="Arial" w:cs="Arial"/>
          <w:bCs/>
        </w:rPr>
        <w:t xml:space="preserve"> Las tarifas de la sobretasa a la gasolina y de la sobretasa al ACPM, por galón, serán las siguientes:</w:t>
      </w:r>
    </w:p>
    <w:p w14:paraId="0039AD45" w14:textId="77777777" w:rsidR="00391F31" w:rsidRPr="00A94C62" w:rsidRDefault="00391F31" w:rsidP="00CD4F38">
      <w:pPr>
        <w:spacing w:after="0" w:line="240" w:lineRule="auto"/>
        <w:ind w:left="708"/>
        <w:jc w:val="both"/>
        <w:rPr>
          <w:rFonts w:ascii="Arial" w:hAnsi="Arial" w:cs="Arial"/>
          <w:bCs/>
        </w:rPr>
      </w:pPr>
    </w:p>
    <w:p w14:paraId="3FB8D84E" w14:textId="77777777" w:rsidR="00391F31" w:rsidRPr="00A94C62" w:rsidRDefault="00391F31" w:rsidP="00CD4F38">
      <w:pPr>
        <w:spacing w:after="0" w:line="240" w:lineRule="auto"/>
        <w:ind w:left="708"/>
        <w:jc w:val="both"/>
        <w:rPr>
          <w:rFonts w:ascii="Arial" w:hAnsi="Arial" w:cs="Arial"/>
          <w:bCs/>
        </w:rPr>
      </w:pPr>
      <w:r w:rsidRPr="00A94C62">
        <w:rPr>
          <w:rFonts w:ascii="Arial" w:hAnsi="Arial" w:cs="Arial"/>
          <w:bCs/>
        </w:rPr>
        <w:lastRenderedPageBreak/>
        <w:t>a. Sobretasa a la gasolina</w:t>
      </w:r>
    </w:p>
    <w:p w14:paraId="314EF092" w14:textId="77777777" w:rsidR="00391F31" w:rsidRPr="00A94C62" w:rsidRDefault="00391F31" w:rsidP="00CD4F38">
      <w:pPr>
        <w:spacing w:after="0" w:line="240" w:lineRule="auto"/>
        <w:ind w:left="708"/>
        <w:jc w:val="both"/>
        <w:rPr>
          <w:rFonts w:ascii="Arial" w:hAnsi="Arial" w:cs="Arial"/>
          <w:bCs/>
        </w:rPr>
      </w:pPr>
    </w:p>
    <w:p w14:paraId="3C6FD6CC" w14:textId="13335E4F" w:rsidR="00391F31" w:rsidRPr="00A94C62" w:rsidRDefault="00CD4F38" w:rsidP="00CD4F38">
      <w:pPr>
        <w:spacing w:after="0" w:line="240" w:lineRule="auto"/>
        <w:ind w:left="708"/>
        <w:jc w:val="center"/>
        <w:rPr>
          <w:rFonts w:ascii="Arial" w:hAnsi="Arial" w:cs="Arial"/>
          <w:bCs/>
        </w:rPr>
      </w:pPr>
      <w:r w:rsidRPr="00A94C62">
        <w:rPr>
          <w:rFonts w:ascii="Arial" w:hAnsi="Arial" w:cs="Arial"/>
          <w:noProof/>
          <w:color w:val="000000" w:themeColor="text1"/>
        </w:rPr>
        <w:drawing>
          <wp:inline distT="0" distB="0" distL="0" distR="0" wp14:anchorId="6E789D1E" wp14:editId="5C5DBD48">
            <wp:extent cx="4462272" cy="1485399"/>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8948" t="46381" r="29243" b="28861"/>
                    <a:stretch/>
                  </pic:blipFill>
                  <pic:spPr bwMode="auto">
                    <a:xfrm>
                      <a:off x="0" y="0"/>
                      <a:ext cx="4501674" cy="1498515"/>
                    </a:xfrm>
                    <a:prstGeom prst="rect">
                      <a:avLst/>
                    </a:prstGeom>
                    <a:ln>
                      <a:noFill/>
                    </a:ln>
                    <a:extLst>
                      <a:ext uri="{53640926-AAD7-44D8-BBD7-CCE9431645EC}">
                        <a14:shadowObscured xmlns:a14="http://schemas.microsoft.com/office/drawing/2010/main"/>
                      </a:ext>
                    </a:extLst>
                  </pic:spPr>
                </pic:pic>
              </a:graphicData>
            </a:graphic>
          </wp:inline>
        </w:drawing>
      </w:r>
    </w:p>
    <w:p w14:paraId="29902E12" w14:textId="77777777" w:rsidR="00391F31" w:rsidRPr="00A94C62" w:rsidRDefault="00391F31" w:rsidP="00CD4F38">
      <w:pPr>
        <w:spacing w:after="0" w:line="240" w:lineRule="auto"/>
        <w:ind w:left="708"/>
        <w:jc w:val="both"/>
        <w:rPr>
          <w:rFonts w:ascii="Arial" w:hAnsi="Arial" w:cs="Arial"/>
          <w:bCs/>
        </w:rPr>
      </w:pPr>
    </w:p>
    <w:p w14:paraId="1B4439D7" w14:textId="77777777" w:rsidR="00391F31" w:rsidRPr="00A94C62" w:rsidRDefault="00391F31" w:rsidP="00CD4F38">
      <w:pPr>
        <w:spacing w:after="0" w:line="240" w:lineRule="auto"/>
        <w:ind w:left="708"/>
        <w:jc w:val="both"/>
        <w:rPr>
          <w:rFonts w:ascii="Arial" w:hAnsi="Arial" w:cs="Arial"/>
          <w:bCs/>
        </w:rPr>
      </w:pPr>
      <w:r w:rsidRPr="00A94C62">
        <w:rPr>
          <w:rFonts w:ascii="Arial" w:hAnsi="Arial" w:cs="Arial"/>
          <w:bCs/>
        </w:rPr>
        <w:t>b. Sobretasa al ACPM</w:t>
      </w:r>
    </w:p>
    <w:p w14:paraId="236BA3A8" w14:textId="77777777" w:rsidR="00391F31" w:rsidRPr="00A94C62" w:rsidRDefault="00391F31" w:rsidP="00CD4F38">
      <w:pPr>
        <w:spacing w:after="0" w:line="240" w:lineRule="auto"/>
        <w:ind w:left="708"/>
        <w:jc w:val="both"/>
        <w:rPr>
          <w:rFonts w:ascii="Arial" w:hAnsi="Arial" w:cs="Arial"/>
          <w:bCs/>
        </w:rPr>
      </w:pPr>
    </w:p>
    <w:p w14:paraId="7372207F" w14:textId="77777777" w:rsidR="00391F31" w:rsidRPr="00A94C62" w:rsidRDefault="00391F31" w:rsidP="00CD4F38">
      <w:pPr>
        <w:spacing w:after="0" w:line="240" w:lineRule="auto"/>
        <w:ind w:left="708"/>
        <w:jc w:val="both"/>
        <w:rPr>
          <w:rFonts w:ascii="Arial" w:hAnsi="Arial" w:cs="Arial"/>
          <w:bCs/>
        </w:rPr>
      </w:pPr>
      <w:r w:rsidRPr="00A94C62">
        <w:rPr>
          <w:rFonts w:ascii="Arial" w:hAnsi="Arial" w:cs="Arial"/>
          <w:bCs/>
        </w:rPr>
        <w:t xml:space="preserve">La tarifa de la sobretasa al ACPM será de $301 pesos por galón. La sobretasa al ACPM para consumo en municipios zonas de frontera se liquidará con una tarifa de $204 por galón para el producto nacional y $114 por galón para el producto importado. </w:t>
      </w:r>
    </w:p>
    <w:p w14:paraId="7C559860" w14:textId="77777777" w:rsidR="00391F31" w:rsidRPr="00A94C62" w:rsidRDefault="00391F31" w:rsidP="00CD4F38">
      <w:pPr>
        <w:spacing w:after="0" w:line="240" w:lineRule="auto"/>
        <w:ind w:left="708"/>
        <w:jc w:val="both"/>
        <w:rPr>
          <w:rFonts w:ascii="Arial" w:hAnsi="Arial" w:cs="Arial"/>
          <w:bCs/>
        </w:rPr>
      </w:pPr>
    </w:p>
    <w:p w14:paraId="7AC39EF8" w14:textId="77777777" w:rsidR="00391F31" w:rsidRPr="00A94C62" w:rsidRDefault="00391F31" w:rsidP="00CD4F38">
      <w:pPr>
        <w:spacing w:after="0" w:line="240" w:lineRule="auto"/>
        <w:ind w:left="708"/>
        <w:jc w:val="both"/>
        <w:rPr>
          <w:rFonts w:ascii="Arial" w:hAnsi="Arial" w:cs="Arial"/>
          <w:bCs/>
        </w:rPr>
      </w:pPr>
      <w:r w:rsidRPr="00A94C62">
        <w:rPr>
          <w:rFonts w:ascii="Arial" w:hAnsi="Arial" w:cs="Arial"/>
          <w:b/>
        </w:rPr>
        <w:t>Parágrafo 1.</w:t>
      </w:r>
      <w:r w:rsidRPr="00A94C62">
        <w:rPr>
          <w:rFonts w:ascii="Arial" w:hAnsi="Arial" w:cs="Arial"/>
          <w:bCs/>
        </w:rPr>
        <w:t xml:space="preserve"> Para los fines de este artículo, el Departamento de Cundinamarca no incluye al Distrito Capital de Bogotá.</w:t>
      </w:r>
    </w:p>
    <w:p w14:paraId="3DB6994A" w14:textId="77777777" w:rsidR="00391F31" w:rsidRPr="00A94C62" w:rsidRDefault="00391F31" w:rsidP="00CD4F38">
      <w:pPr>
        <w:spacing w:after="0" w:line="240" w:lineRule="auto"/>
        <w:ind w:left="708"/>
        <w:jc w:val="both"/>
        <w:rPr>
          <w:rFonts w:ascii="Arial" w:hAnsi="Arial" w:cs="Arial"/>
          <w:bCs/>
        </w:rPr>
      </w:pPr>
    </w:p>
    <w:p w14:paraId="212375D7" w14:textId="77777777" w:rsidR="00391F31" w:rsidRPr="00A94C62" w:rsidRDefault="00391F31" w:rsidP="00CD4F38">
      <w:pPr>
        <w:spacing w:after="0" w:line="240" w:lineRule="auto"/>
        <w:ind w:left="708"/>
        <w:jc w:val="both"/>
        <w:rPr>
          <w:rFonts w:ascii="Arial" w:hAnsi="Arial" w:cs="Arial"/>
          <w:bCs/>
        </w:rPr>
      </w:pPr>
      <w:r w:rsidRPr="00A94C62">
        <w:rPr>
          <w:rFonts w:ascii="Arial" w:hAnsi="Arial" w:cs="Arial"/>
          <w:b/>
        </w:rPr>
        <w:t>Parágrafo 2.</w:t>
      </w:r>
      <w:r w:rsidRPr="00A94C62">
        <w:rPr>
          <w:rFonts w:ascii="Arial" w:hAnsi="Arial" w:cs="Arial"/>
          <w:bCs/>
        </w:rPr>
        <w:t xml:space="preserve"> Para el caso de la sobretasa a la gasolina, los Concejos de los municipios ubicados en zonas de frontera podrán optar entre la tarifa municipal para zonas de frontera establecida en la tabla de este artículo o la adopción de una tarifa diferencial de $114 por galón de gasolina corriente y de $426 por galón de gasolina extra. </w:t>
      </w:r>
    </w:p>
    <w:p w14:paraId="686C774B" w14:textId="77777777" w:rsidR="00391F31" w:rsidRPr="00A94C62" w:rsidRDefault="00391F31" w:rsidP="00CD4F38">
      <w:pPr>
        <w:spacing w:after="0" w:line="240" w:lineRule="auto"/>
        <w:ind w:left="708"/>
        <w:jc w:val="both"/>
        <w:rPr>
          <w:rFonts w:ascii="Arial" w:hAnsi="Arial" w:cs="Arial"/>
          <w:bCs/>
        </w:rPr>
      </w:pPr>
    </w:p>
    <w:p w14:paraId="24296F4F" w14:textId="77777777" w:rsidR="00391F31" w:rsidRPr="00A94C62" w:rsidRDefault="00391F31" w:rsidP="00CD4F38">
      <w:pPr>
        <w:spacing w:after="0" w:line="240" w:lineRule="auto"/>
        <w:ind w:left="708"/>
        <w:jc w:val="both"/>
        <w:rPr>
          <w:rFonts w:ascii="Arial" w:hAnsi="Arial" w:cs="Arial"/>
          <w:bCs/>
        </w:rPr>
      </w:pPr>
      <w:r w:rsidRPr="00A94C62">
        <w:rPr>
          <w:rFonts w:ascii="Arial" w:hAnsi="Arial" w:cs="Arial"/>
          <w:bCs/>
        </w:rPr>
        <w:t xml:space="preserve">En caso de adoptar la tarifa diferencial establecida en este parágrafo, deberán informar de esta situación a los responsables de declarar y pagar el impuesto, antes de iniciar el periodo gravable para el cual aplica la mencionada tarifa. </w:t>
      </w:r>
    </w:p>
    <w:p w14:paraId="649FF53A" w14:textId="77777777" w:rsidR="00391F31" w:rsidRPr="00A94C62" w:rsidRDefault="00391F31" w:rsidP="00CD4F38">
      <w:pPr>
        <w:spacing w:after="0" w:line="240" w:lineRule="auto"/>
        <w:ind w:left="708"/>
        <w:jc w:val="both"/>
        <w:rPr>
          <w:rFonts w:ascii="Arial" w:hAnsi="Arial" w:cs="Arial"/>
          <w:bCs/>
        </w:rPr>
      </w:pPr>
    </w:p>
    <w:p w14:paraId="678F8F81" w14:textId="77777777" w:rsidR="00391F31" w:rsidRPr="00A94C62" w:rsidRDefault="00391F31" w:rsidP="00CD4F38">
      <w:pPr>
        <w:spacing w:after="0" w:line="240" w:lineRule="auto"/>
        <w:ind w:left="708"/>
        <w:jc w:val="both"/>
        <w:rPr>
          <w:rFonts w:ascii="Arial" w:hAnsi="Arial" w:cs="Arial"/>
          <w:bCs/>
        </w:rPr>
      </w:pPr>
      <w:r w:rsidRPr="00A94C62">
        <w:rPr>
          <w:rFonts w:ascii="Arial" w:hAnsi="Arial" w:cs="Arial"/>
          <w:bCs/>
        </w:rPr>
        <w:t xml:space="preserve">En todo caso, mientras la entidad territorial no haya informado al responsable la adopción de la tarifa diferencial establecida en este parágrafo, la tarifa aplicable será la tarifa municipal para cada tipo de combustible establecida para los municipios de zonas de frontera. </w:t>
      </w:r>
    </w:p>
    <w:p w14:paraId="0981351D" w14:textId="77777777" w:rsidR="00391F31" w:rsidRPr="00A94C62" w:rsidRDefault="00391F31" w:rsidP="00CD4F38">
      <w:pPr>
        <w:spacing w:after="0" w:line="240" w:lineRule="auto"/>
        <w:ind w:left="708"/>
        <w:jc w:val="both"/>
        <w:rPr>
          <w:rFonts w:ascii="Arial" w:hAnsi="Arial" w:cs="Arial"/>
          <w:bCs/>
        </w:rPr>
      </w:pPr>
    </w:p>
    <w:p w14:paraId="3CDF4691" w14:textId="77777777" w:rsidR="00391F31" w:rsidRPr="00A94C62" w:rsidRDefault="00391F31" w:rsidP="00CD4F38">
      <w:pPr>
        <w:spacing w:after="0" w:line="240" w:lineRule="auto"/>
        <w:ind w:left="708"/>
        <w:jc w:val="both"/>
        <w:rPr>
          <w:rFonts w:ascii="Arial" w:hAnsi="Arial" w:cs="Arial"/>
          <w:bCs/>
        </w:rPr>
      </w:pPr>
      <w:r w:rsidRPr="00A94C62">
        <w:rPr>
          <w:rFonts w:ascii="Arial" w:hAnsi="Arial" w:cs="Arial"/>
          <w:b/>
        </w:rPr>
        <w:t>Parágrafo 3.</w:t>
      </w:r>
      <w:r w:rsidRPr="00A94C62">
        <w:rPr>
          <w:rFonts w:ascii="Arial" w:hAnsi="Arial" w:cs="Arial"/>
          <w:bCs/>
        </w:rPr>
        <w:t xml:space="preserve"> Las tarifas en zonas de frontera para la sobretasa a la gasolina y la sobretasa al ACPM para el producto nacional aplicarán exclusivamente a los volúmenes máximos asignados a los diferentes agentes de la cadena de distribución de combustibles. Para ventas por encima de los volúmenes en mención o agentes que no son objeto de los mismos, la tarifa de la sobretasa a la gasolina por galón y la sobretasa al ACPM por galón será la tarifa general respectiva señalada en el presente artículo.</w:t>
      </w:r>
    </w:p>
    <w:p w14:paraId="5CA308E2" w14:textId="77777777" w:rsidR="00391F31" w:rsidRPr="00A94C62" w:rsidRDefault="00391F31" w:rsidP="00CD4F38">
      <w:pPr>
        <w:spacing w:after="0" w:line="240" w:lineRule="auto"/>
        <w:ind w:left="708"/>
        <w:jc w:val="both"/>
        <w:rPr>
          <w:rFonts w:ascii="Arial" w:hAnsi="Arial" w:cs="Arial"/>
          <w:bCs/>
        </w:rPr>
      </w:pPr>
    </w:p>
    <w:p w14:paraId="7598A8A1" w14:textId="77777777" w:rsidR="00391F31" w:rsidRPr="00A94C62" w:rsidRDefault="00391F31" w:rsidP="00CD4F38">
      <w:pPr>
        <w:spacing w:after="0" w:line="240" w:lineRule="auto"/>
        <w:ind w:left="708"/>
        <w:jc w:val="both"/>
        <w:rPr>
          <w:rFonts w:ascii="Arial" w:hAnsi="Arial" w:cs="Arial"/>
          <w:bCs/>
        </w:rPr>
      </w:pPr>
      <w:r w:rsidRPr="00A94C62">
        <w:rPr>
          <w:rFonts w:ascii="Arial" w:hAnsi="Arial" w:cs="Arial"/>
          <w:b/>
        </w:rPr>
        <w:t>Parágrafo 4</w:t>
      </w:r>
      <w:r w:rsidRPr="00A94C62">
        <w:rPr>
          <w:rFonts w:ascii="Arial" w:hAnsi="Arial" w:cs="Arial"/>
          <w:bCs/>
        </w:rPr>
        <w:t>. Para el consumo de nafta o cualquier otro combustible o líquido derivado del petróleo que pueda ser usado como carburante en motores diseñados para ser utilizados con gasolina, la tarifa será la misma de la gasolina motor extra.</w:t>
      </w:r>
    </w:p>
    <w:p w14:paraId="7C8A2338" w14:textId="77777777" w:rsidR="00391F31" w:rsidRPr="00A94C62" w:rsidRDefault="00391F31" w:rsidP="00CD4F38">
      <w:pPr>
        <w:spacing w:after="0" w:line="240" w:lineRule="auto"/>
        <w:ind w:left="708"/>
        <w:jc w:val="both"/>
        <w:rPr>
          <w:rFonts w:ascii="Arial" w:hAnsi="Arial" w:cs="Arial"/>
          <w:bCs/>
        </w:rPr>
      </w:pPr>
    </w:p>
    <w:p w14:paraId="5A760990" w14:textId="34B5A66F" w:rsidR="00391F31" w:rsidRPr="00A94C62" w:rsidRDefault="00391F31" w:rsidP="00CD4F38">
      <w:pPr>
        <w:spacing w:after="0" w:line="240" w:lineRule="auto"/>
        <w:ind w:left="708"/>
        <w:jc w:val="both"/>
        <w:rPr>
          <w:rFonts w:ascii="Arial" w:hAnsi="Arial" w:cs="Arial"/>
          <w:bCs/>
        </w:rPr>
      </w:pPr>
      <w:r w:rsidRPr="00A94C62">
        <w:rPr>
          <w:rFonts w:ascii="Arial" w:hAnsi="Arial" w:cs="Arial"/>
          <w:b/>
        </w:rPr>
        <w:lastRenderedPageBreak/>
        <w:t>Parágrafo 5.</w:t>
      </w:r>
      <w:r w:rsidRPr="00A94C62">
        <w:rPr>
          <w:rFonts w:ascii="Arial" w:hAnsi="Arial" w:cs="Arial"/>
          <w:bCs/>
        </w:rPr>
        <w:t xml:space="preserve">  Las tarifas previstas en este artículo se incrementarán a partir del 1 de enero del año 2023, con la variación anual del índice de precios al consumidor certificado por el Departamento Administrativo Nacional de Estadística -DANE al 30 de noviembre y el resultado se aproximará al peso más cercano. La Dirección de Apoyo Fiscal del Ministerio de Hacienda y Crédito Público certificará y publicará</w:t>
      </w:r>
      <w:r w:rsidR="00CD4F38" w:rsidRPr="00A94C62">
        <w:rPr>
          <w:rFonts w:ascii="Arial" w:hAnsi="Arial" w:cs="Arial"/>
          <w:bCs/>
        </w:rPr>
        <w:t>,</w:t>
      </w:r>
      <w:r w:rsidRPr="00A94C62">
        <w:rPr>
          <w:rFonts w:ascii="Arial" w:hAnsi="Arial" w:cs="Arial"/>
          <w:bCs/>
        </w:rPr>
        <w:t xml:space="preserve"> antes del 1 de enero de cada año, las tarifas así indexadas.</w:t>
      </w:r>
    </w:p>
    <w:p w14:paraId="7D59BAA4" w14:textId="77777777" w:rsidR="00391F31" w:rsidRPr="00A94C62" w:rsidRDefault="00391F31" w:rsidP="00CD4F38">
      <w:pPr>
        <w:spacing w:after="0" w:line="240" w:lineRule="auto"/>
        <w:ind w:left="708"/>
        <w:jc w:val="both"/>
        <w:rPr>
          <w:rFonts w:ascii="Arial" w:hAnsi="Arial" w:cs="Arial"/>
          <w:bCs/>
        </w:rPr>
      </w:pPr>
    </w:p>
    <w:p w14:paraId="765A23E7" w14:textId="77777777" w:rsidR="00391F31" w:rsidRPr="00A94C62" w:rsidRDefault="00391F31" w:rsidP="00CD4F38">
      <w:pPr>
        <w:spacing w:after="0" w:line="240" w:lineRule="auto"/>
        <w:ind w:left="708"/>
        <w:jc w:val="both"/>
        <w:rPr>
          <w:rFonts w:ascii="Arial" w:hAnsi="Arial" w:cs="Arial"/>
          <w:bCs/>
        </w:rPr>
      </w:pPr>
      <w:r w:rsidRPr="00A94C62">
        <w:rPr>
          <w:rFonts w:ascii="Arial" w:hAnsi="Arial" w:cs="Arial"/>
          <w:b/>
        </w:rPr>
        <w:t>Parágrafo 6</w:t>
      </w:r>
      <w:r w:rsidRPr="00A94C62">
        <w:rPr>
          <w:rFonts w:ascii="Arial" w:hAnsi="Arial" w:cs="Arial"/>
          <w:bCs/>
        </w:rPr>
        <w:t>. En los casos en que, a la entrada en vigencia de la presente ley existan, a favor de la Nación, contratos de pignoración de la sobretasa a la gasolina, se observarán estos compromisos y se mantendrán vigentes, sin perjuicio de los ajustes que se deban realizar en los documentos contractuales para mantener las equivalencias en el monto de las pignoraciones.</w:t>
      </w:r>
    </w:p>
    <w:p w14:paraId="7B205EB5" w14:textId="77777777" w:rsidR="00391F31" w:rsidRPr="00A94C62" w:rsidRDefault="00391F31" w:rsidP="00CD4F38">
      <w:pPr>
        <w:spacing w:after="0" w:line="240" w:lineRule="auto"/>
        <w:ind w:left="708"/>
        <w:jc w:val="both"/>
        <w:rPr>
          <w:rFonts w:ascii="Arial" w:hAnsi="Arial" w:cs="Arial"/>
          <w:bCs/>
        </w:rPr>
      </w:pPr>
    </w:p>
    <w:p w14:paraId="4673490C" w14:textId="23DE4775" w:rsidR="005365BE" w:rsidRPr="00A94C62" w:rsidRDefault="00391F31" w:rsidP="00391F31">
      <w:pPr>
        <w:spacing w:after="0" w:line="240" w:lineRule="auto"/>
        <w:jc w:val="both"/>
        <w:rPr>
          <w:rFonts w:ascii="Arial" w:hAnsi="Arial" w:cs="Arial"/>
          <w:bCs/>
        </w:rPr>
      </w:pPr>
      <w:r w:rsidRPr="00A94C62">
        <w:rPr>
          <w:rFonts w:ascii="Arial" w:hAnsi="Arial" w:cs="Arial"/>
          <w:b/>
        </w:rPr>
        <w:t>ARTÍCULO 4. Vigencia.</w:t>
      </w:r>
      <w:r w:rsidRPr="00A94C62">
        <w:rPr>
          <w:rFonts w:ascii="Arial" w:hAnsi="Arial" w:cs="Arial"/>
          <w:bCs/>
        </w:rPr>
        <w:t xml:space="preserve"> La presente ley rige a partir de su promulgación.</w:t>
      </w:r>
    </w:p>
    <w:p w14:paraId="43F5C7C1" w14:textId="701172AA" w:rsidR="00CC6036" w:rsidRPr="00A94C62" w:rsidRDefault="00CC6036" w:rsidP="00886CE3">
      <w:pPr>
        <w:spacing w:after="0" w:line="240" w:lineRule="auto"/>
        <w:jc w:val="right"/>
        <w:rPr>
          <w:rFonts w:ascii="Arial" w:hAnsi="Arial" w:cs="Arial"/>
          <w:bCs/>
        </w:rPr>
      </w:pPr>
    </w:p>
    <w:p w14:paraId="6868DC3E" w14:textId="08974EDE" w:rsidR="00CC6036" w:rsidRPr="00A94C62" w:rsidRDefault="00CC6036" w:rsidP="00886CE3">
      <w:pPr>
        <w:spacing w:after="0" w:line="240" w:lineRule="auto"/>
        <w:jc w:val="right"/>
        <w:rPr>
          <w:rFonts w:ascii="Arial" w:hAnsi="Arial" w:cs="Arial"/>
          <w:bCs/>
        </w:rPr>
      </w:pPr>
    </w:p>
    <w:p w14:paraId="4BFD0EE4" w14:textId="228FF2B2" w:rsidR="00CC6036" w:rsidRPr="00A94C62" w:rsidRDefault="00CC6036" w:rsidP="0055620F">
      <w:pPr>
        <w:spacing w:after="0" w:line="240" w:lineRule="auto"/>
        <w:rPr>
          <w:rFonts w:ascii="Arial" w:hAnsi="Arial" w:cs="Arial"/>
          <w:bCs/>
        </w:rPr>
      </w:pPr>
    </w:p>
    <w:p w14:paraId="075E5E86" w14:textId="3FBFF084" w:rsidR="00CC6036" w:rsidRPr="00A94C62" w:rsidRDefault="00CC6036" w:rsidP="00886CE3">
      <w:pPr>
        <w:spacing w:after="0" w:line="240" w:lineRule="auto"/>
        <w:jc w:val="right"/>
        <w:rPr>
          <w:rFonts w:ascii="Arial" w:hAnsi="Arial" w:cs="Arial"/>
          <w:bCs/>
        </w:rPr>
      </w:pPr>
    </w:p>
    <w:p w14:paraId="268E9E70" w14:textId="77777777" w:rsidR="007A411E" w:rsidRPr="00A94C62" w:rsidRDefault="007A411E" w:rsidP="00886CE3">
      <w:pPr>
        <w:spacing w:after="0" w:line="240" w:lineRule="auto"/>
        <w:jc w:val="center"/>
        <w:rPr>
          <w:rFonts w:ascii="Arial" w:hAnsi="Arial" w:cs="Arial"/>
          <w:b/>
        </w:rPr>
      </w:pPr>
    </w:p>
    <w:p w14:paraId="0746E351" w14:textId="458B3DB8" w:rsidR="005365BE" w:rsidRPr="00A94C62" w:rsidRDefault="005365BE" w:rsidP="00886CE3">
      <w:pPr>
        <w:spacing w:after="0" w:line="240" w:lineRule="auto"/>
        <w:jc w:val="right"/>
        <w:rPr>
          <w:rFonts w:ascii="Arial" w:hAnsi="Arial" w:cs="Arial"/>
          <w:bCs/>
        </w:rPr>
      </w:pPr>
    </w:p>
    <w:p w14:paraId="206445FE" w14:textId="77777777" w:rsidR="00391F31" w:rsidRPr="00A94C62" w:rsidRDefault="00391F31" w:rsidP="00391F31">
      <w:pPr>
        <w:spacing w:after="0" w:line="240" w:lineRule="auto"/>
        <w:jc w:val="center"/>
        <w:rPr>
          <w:rFonts w:ascii="Arial" w:hAnsi="Arial" w:cs="Arial"/>
          <w:b/>
        </w:rPr>
      </w:pPr>
    </w:p>
    <w:p w14:paraId="41DDD63F" w14:textId="77777777" w:rsidR="00391F31" w:rsidRPr="00A94C62" w:rsidRDefault="00391F31" w:rsidP="00391F31">
      <w:pPr>
        <w:spacing w:after="0" w:line="240" w:lineRule="auto"/>
        <w:jc w:val="center"/>
        <w:rPr>
          <w:rFonts w:ascii="Arial" w:hAnsi="Arial" w:cs="Arial"/>
          <w:b/>
        </w:rPr>
      </w:pPr>
      <w:r w:rsidRPr="00A94C62">
        <w:rPr>
          <w:rFonts w:ascii="Arial" w:hAnsi="Arial" w:cs="Arial"/>
          <w:b/>
        </w:rPr>
        <w:t xml:space="preserve">CONCILIADORES </w:t>
      </w:r>
    </w:p>
    <w:p w14:paraId="767118D5" w14:textId="77777777" w:rsidR="00391F31" w:rsidRPr="00A94C62" w:rsidRDefault="00391F31" w:rsidP="00391F31">
      <w:pPr>
        <w:spacing w:after="0" w:line="240" w:lineRule="auto"/>
        <w:jc w:val="center"/>
        <w:rPr>
          <w:rFonts w:ascii="Arial" w:hAnsi="Arial" w:cs="Arial"/>
          <w:bCs/>
        </w:rPr>
      </w:pPr>
    </w:p>
    <w:p w14:paraId="6BD29D6F" w14:textId="1B2AA339" w:rsidR="00391F31" w:rsidRPr="00A94C62" w:rsidRDefault="00375271" w:rsidP="00391F31">
      <w:pPr>
        <w:spacing w:after="0" w:line="240" w:lineRule="auto"/>
        <w:jc w:val="center"/>
        <w:rPr>
          <w:rFonts w:ascii="Arial" w:hAnsi="Arial" w:cs="Arial"/>
          <w:bCs/>
        </w:rPr>
      </w:pPr>
      <w:r>
        <w:rPr>
          <w:rFonts w:ascii="Arial" w:hAnsi="Arial" w:cs="Arial"/>
          <w:bCs/>
          <w:noProof/>
        </w:rPr>
        <w:drawing>
          <wp:anchor distT="0" distB="0" distL="114300" distR="114300" simplePos="0" relativeHeight="251662336" behindDoc="1" locked="0" layoutInCell="1" allowOverlap="1" wp14:anchorId="4DC47EFF" wp14:editId="27BAFD3E">
            <wp:simplePos x="0" y="0"/>
            <wp:positionH relativeFrom="column">
              <wp:posOffset>-56515</wp:posOffset>
            </wp:positionH>
            <wp:positionV relativeFrom="paragraph">
              <wp:posOffset>471805</wp:posOffset>
            </wp:positionV>
            <wp:extent cx="3098800" cy="13589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9">
                      <a:extLst>
                        <a:ext uri="{28A0092B-C50C-407E-A947-70E740481C1C}">
                          <a14:useLocalDpi xmlns:a14="http://schemas.microsoft.com/office/drawing/2010/main" val="0"/>
                        </a:ext>
                      </a:extLst>
                    </a:blip>
                    <a:stretch>
                      <a:fillRect/>
                    </a:stretch>
                  </pic:blipFill>
                  <pic:spPr>
                    <a:xfrm>
                      <a:off x="0" y="0"/>
                      <a:ext cx="3098800" cy="1358900"/>
                    </a:xfrm>
                    <a:prstGeom prst="rect">
                      <a:avLst/>
                    </a:prstGeom>
                  </pic:spPr>
                </pic:pic>
              </a:graphicData>
            </a:graphic>
          </wp:anchor>
        </w:drawing>
      </w:r>
      <w:r>
        <w:rPr>
          <w:rFonts w:ascii="Arial" w:hAnsi="Arial" w:cs="Arial"/>
          <w:bCs/>
          <w:noProof/>
        </w:rPr>
        <w:drawing>
          <wp:anchor distT="0" distB="0" distL="114300" distR="114300" simplePos="0" relativeHeight="251661312" behindDoc="0" locked="0" layoutInCell="1" allowOverlap="1" wp14:anchorId="767A89AC" wp14:editId="41837AF5">
            <wp:simplePos x="0" y="0"/>
            <wp:positionH relativeFrom="column">
              <wp:posOffset>2693504</wp:posOffset>
            </wp:positionH>
            <wp:positionV relativeFrom="paragraph">
              <wp:posOffset>168275</wp:posOffset>
            </wp:positionV>
            <wp:extent cx="2832100" cy="1371600"/>
            <wp:effectExtent l="0" t="0" r="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8">
                      <a:extLst>
                        <a:ext uri="{28A0092B-C50C-407E-A947-70E740481C1C}">
                          <a14:useLocalDpi xmlns:a14="http://schemas.microsoft.com/office/drawing/2010/main" val="0"/>
                        </a:ext>
                      </a:extLst>
                    </a:blip>
                    <a:stretch>
                      <a:fillRect/>
                    </a:stretch>
                  </pic:blipFill>
                  <pic:spPr>
                    <a:xfrm>
                      <a:off x="0" y="0"/>
                      <a:ext cx="2832100" cy="1371600"/>
                    </a:xfrm>
                    <a:prstGeom prst="rect">
                      <a:avLst/>
                    </a:prstGeom>
                  </pic:spPr>
                </pic:pic>
              </a:graphicData>
            </a:graphic>
          </wp:anchor>
        </w:drawing>
      </w:r>
    </w:p>
    <w:p w14:paraId="09EEA77C" w14:textId="77777777" w:rsidR="00391F31" w:rsidRPr="00A94C62" w:rsidRDefault="00391F31" w:rsidP="00391F31">
      <w:pPr>
        <w:spacing w:after="0" w:line="240" w:lineRule="auto"/>
        <w:jc w:val="center"/>
        <w:rPr>
          <w:rFonts w:ascii="Arial" w:hAnsi="Arial" w:cs="Arial"/>
          <w:bCs/>
        </w:rPr>
      </w:pPr>
    </w:p>
    <w:p w14:paraId="239BF2C7" w14:textId="77777777" w:rsidR="00391F31" w:rsidRPr="00A94C62" w:rsidRDefault="00391F31" w:rsidP="00391F31">
      <w:pPr>
        <w:spacing w:after="0" w:line="240" w:lineRule="auto"/>
        <w:jc w:val="center"/>
        <w:rPr>
          <w:rFonts w:ascii="Arial" w:hAnsi="Arial" w:cs="Arial"/>
          <w:bCs/>
        </w:rPr>
      </w:pPr>
    </w:p>
    <w:p w14:paraId="30BD6EA5" w14:textId="77777777" w:rsidR="00391F31" w:rsidRPr="00A94C62" w:rsidRDefault="00391F31" w:rsidP="00391F31">
      <w:pPr>
        <w:spacing w:after="0" w:line="240" w:lineRule="auto"/>
        <w:jc w:val="center"/>
        <w:rPr>
          <w:rFonts w:ascii="Arial" w:hAnsi="Arial" w:cs="Arial"/>
          <w:bCs/>
        </w:rPr>
      </w:pP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91F31" w:rsidRPr="00A94C62" w14:paraId="364602B8" w14:textId="77777777" w:rsidTr="00CA3A4B">
        <w:tc>
          <w:tcPr>
            <w:tcW w:w="4414" w:type="dxa"/>
          </w:tcPr>
          <w:p w14:paraId="6E4A8C2D" w14:textId="2C4A77CA" w:rsidR="00391F31" w:rsidRPr="00A94C62" w:rsidRDefault="00391F31" w:rsidP="00CA3A4B">
            <w:pPr>
              <w:jc w:val="center"/>
              <w:rPr>
                <w:rFonts w:ascii="Arial" w:hAnsi="Arial" w:cs="Arial"/>
                <w:b/>
                <w:bCs/>
              </w:rPr>
            </w:pPr>
            <w:r w:rsidRPr="00A94C62">
              <w:rPr>
                <w:rFonts w:ascii="Arial" w:hAnsi="Arial" w:cs="Arial"/>
                <w:b/>
                <w:bCs/>
              </w:rPr>
              <w:t>JOHN JAIRO CÁRDENAS</w:t>
            </w:r>
            <w:r w:rsidR="00CD4F38" w:rsidRPr="00A94C62">
              <w:rPr>
                <w:rFonts w:ascii="Arial" w:hAnsi="Arial" w:cs="Arial"/>
                <w:b/>
                <w:bCs/>
              </w:rPr>
              <w:t xml:space="preserve"> MORAN</w:t>
            </w:r>
          </w:p>
          <w:p w14:paraId="3CF08B31" w14:textId="77777777" w:rsidR="00391F31" w:rsidRPr="00A94C62" w:rsidRDefault="00391F31" w:rsidP="00CA3A4B">
            <w:pPr>
              <w:jc w:val="center"/>
              <w:rPr>
                <w:rFonts w:ascii="Arial" w:hAnsi="Arial" w:cs="Arial"/>
              </w:rPr>
            </w:pPr>
            <w:r w:rsidRPr="00A94C62">
              <w:rPr>
                <w:rFonts w:ascii="Arial" w:hAnsi="Arial" w:cs="Arial"/>
              </w:rPr>
              <w:t>Representante a la Cámara</w:t>
            </w:r>
          </w:p>
        </w:tc>
        <w:tc>
          <w:tcPr>
            <w:tcW w:w="4414" w:type="dxa"/>
          </w:tcPr>
          <w:p w14:paraId="73189F8E" w14:textId="77777777" w:rsidR="00391F31" w:rsidRPr="00A94C62" w:rsidRDefault="00391F31" w:rsidP="00CA3A4B">
            <w:pPr>
              <w:jc w:val="center"/>
              <w:rPr>
                <w:rFonts w:ascii="Arial" w:hAnsi="Arial" w:cs="Arial"/>
                <w:b/>
                <w:bCs/>
              </w:rPr>
            </w:pPr>
            <w:r w:rsidRPr="00A94C62">
              <w:rPr>
                <w:rFonts w:ascii="Arial" w:hAnsi="Arial" w:cs="Arial"/>
                <w:b/>
                <w:bCs/>
              </w:rPr>
              <w:t>EFRAÍN JOSÉ CEPEDA SANABRIA</w:t>
            </w:r>
          </w:p>
          <w:p w14:paraId="12ADF2BD" w14:textId="77777777" w:rsidR="00391F31" w:rsidRPr="00A94C62" w:rsidRDefault="00391F31" w:rsidP="00CA3A4B">
            <w:pPr>
              <w:jc w:val="center"/>
              <w:rPr>
                <w:rFonts w:ascii="Arial" w:hAnsi="Arial" w:cs="Arial"/>
                <w:b/>
                <w:highlight w:val="yellow"/>
              </w:rPr>
            </w:pPr>
            <w:r w:rsidRPr="00A94C62">
              <w:rPr>
                <w:rFonts w:ascii="Arial" w:hAnsi="Arial" w:cs="Arial"/>
              </w:rPr>
              <w:t>Senador de la República</w:t>
            </w:r>
          </w:p>
        </w:tc>
      </w:tr>
    </w:tbl>
    <w:p w14:paraId="09CB8487" w14:textId="5FA7E9DC" w:rsidR="005365BE" w:rsidRPr="00A94C62" w:rsidRDefault="005365BE" w:rsidP="00886CE3">
      <w:pPr>
        <w:spacing w:after="0" w:line="240" w:lineRule="auto"/>
        <w:jc w:val="right"/>
        <w:rPr>
          <w:rFonts w:ascii="Arial" w:hAnsi="Arial" w:cs="Arial"/>
          <w:bCs/>
        </w:rPr>
      </w:pPr>
    </w:p>
    <w:p w14:paraId="47C38D50" w14:textId="34112196" w:rsidR="005365BE" w:rsidRPr="00A94C62" w:rsidRDefault="005365BE" w:rsidP="00886CE3">
      <w:pPr>
        <w:spacing w:after="0" w:line="240" w:lineRule="auto"/>
        <w:jc w:val="right"/>
        <w:rPr>
          <w:rFonts w:ascii="Arial" w:hAnsi="Arial" w:cs="Arial"/>
          <w:bCs/>
        </w:rPr>
      </w:pPr>
    </w:p>
    <w:p w14:paraId="10424412" w14:textId="77777777" w:rsidR="005365BE" w:rsidRPr="00A94C62" w:rsidRDefault="005365BE" w:rsidP="00886CE3">
      <w:pPr>
        <w:spacing w:after="0" w:line="240" w:lineRule="auto"/>
        <w:jc w:val="right"/>
        <w:rPr>
          <w:rFonts w:ascii="Arial" w:hAnsi="Arial" w:cs="Arial"/>
          <w:bCs/>
        </w:rPr>
      </w:pPr>
    </w:p>
    <w:p w14:paraId="13A92199" w14:textId="77777777" w:rsidR="00026E18" w:rsidRPr="00A94C62" w:rsidRDefault="00026E18" w:rsidP="00886CE3">
      <w:pPr>
        <w:spacing w:after="0" w:line="240" w:lineRule="auto"/>
        <w:rPr>
          <w:rFonts w:ascii="Arial" w:hAnsi="Arial" w:cs="Arial"/>
          <w:bCs/>
        </w:rPr>
      </w:pPr>
    </w:p>
    <w:p w14:paraId="2E3D67D0" w14:textId="77777777" w:rsidR="00026E18" w:rsidRPr="00A94C62" w:rsidRDefault="00026E18" w:rsidP="00886CE3">
      <w:pPr>
        <w:spacing w:after="0" w:line="240" w:lineRule="auto"/>
        <w:jc w:val="right"/>
        <w:rPr>
          <w:rFonts w:ascii="Arial" w:hAnsi="Arial" w:cs="Arial"/>
          <w:bCs/>
        </w:rPr>
      </w:pPr>
    </w:p>
    <w:p w14:paraId="0CDBF7BD" w14:textId="6DBBD1C4" w:rsidR="00026E18" w:rsidRPr="00A94C62" w:rsidRDefault="00026E18" w:rsidP="00886CE3">
      <w:pPr>
        <w:spacing w:after="0" w:line="240" w:lineRule="auto"/>
        <w:jc w:val="right"/>
        <w:rPr>
          <w:rFonts w:ascii="Arial" w:hAnsi="Arial" w:cs="Arial"/>
          <w:bCs/>
        </w:rPr>
      </w:pPr>
    </w:p>
    <w:p w14:paraId="596B50AD" w14:textId="77777777" w:rsidR="00026E18" w:rsidRPr="00A94C62" w:rsidRDefault="00026E18" w:rsidP="00886CE3">
      <w:pPr>
        <w:spacing w:after="0" w:line="240" w:lineRule="auto"/>
        <w:jc w:val="right"/>
        <w:rPr>
          <w:rFonts w:ascii="Arial" w:hAnsi="Arial" w:cs="Arial"/>
          <w:bCs/>
        </w:rPr>
      </w:pPr>
    </w:p>
    <w:sectPr w:rsidR="00026E18" w:rsidRPr="00A94C62" w:rsidSect="00740385">
      <w:headerReference w:type="default" r:id="rId10"/>
      <w:footerReference w:type="default" r:id="rId11"/>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B4835" w14:textId="77777777" w:rsidR="006A4603" w:rsidRDefault="006A4603" w:rsidP="00145EA9">
      <w:pPr>
        <w:spacing w:after="0" w:line="240" w:lineRule="auto"/>
      </w:pPr>
      <w:r>
        <w:separator/>
      </w:r>
    </w:p>
  </w:endnote>
  <w:endnote w:type="continuationSeparator" w:id="0">
    <w:p w14:paraId="4A4D0DB2" w14:textId="77777777" w:rsidR="006A4603" w:rsidRDefault="006A4603" w:rsidP="0014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0116533"/>
      <w:docPartObj>
        <w:docPartGallery w:val="Page Numbers (Bottom of Page)"/>
        <w:docPartUnique/>
      </w:docPartObj>
    </w:sdtPr>
    <w:sdtEndPr/>
    <w:sdtContent>
      <w:p w14:paraId="2E2026D3" w14:textId="39DA5AC8" w:rsidR="00145EA9" w:rsidRDefault="00145EA9">
        <w:pPr>
          <w:pStyle w:val="Piedepgina"/>
          <w:jc w:val="right"/>
        </w:pPr>
        <w:r>
          <w:fldChar w:fldCharType="begin"/>
        </w:r>
        <w:r>
          <w:instrText>PAGE   \* MERGEFORMAT</w:instrText>
        </w:r>
        <w:r>
          <w:fldChar w:fldCharType="separate"/>
        </w:r>
        <w:r w:rsidR="006C4C34" w:rsidRPr="006C4C34">
          <w:rPr>
            <w:noProof/>
            <w:lang w:val="es-ES"/>
          </w:rPr>
          <w:t>20</w:t>
        </w:r>
        <w:r>
          <w:fldChar w:fldCharType="end"/>
        </w:r>
      </w:p>
    </w:sdtContent>
  </w:sdt>
  <w:p w14:paraId="12177B12" w14:textId="77777777" w:rsidR="00145EA9" w:rsidRDefault="00145E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7607D" w14:textId="77777777" w:rsidR="006A4603" w:rsidRDefault="006A4603" w:rsidP="00145EA9">
      <w:pPr>
        <w:spacing w:after="0" w:line="240" w:lineRule="auto"/>
      </w:pPr>
      <w:r>
        <w:separator/>
      </w:r>
    </w:p>
  </w:footnote>
  <w:footnote w:type="continuationSeparator" w:id="0">
    <w:p w14:paraId="213E113D" w14:textId="77777777" w:rsidR="006A4603" w:rsidRDefault="006A4603" w:rsidP="00145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B98C1" w14:textId="77777777" w:rsidR="000A46F9" w:rsidRDefault="00886CE3" w:rsidP="00886CE3">
    <w:pPr>
      <w:pStyle w:val="Encabezado"/>
      <w:pBdr>
        <w:bottom w:val="thickThinSmallGap" w:sz="24" w:space="9" w:color="622423"/>
      </w:pBdr>
      <w:jc w:val="center"/>
      <w:rPr>
        <w:rFonts w:ascii="Georgia" w:hAnsi="Georgia"/>
        <w:sz w:val="18"/>
      </w:rPr>
    </w:pPr>
    <w:r>
      <w:rPr>
        <w:rFonts w:ascii="Georgia" w:hAnsi="Georgia"/>
        <w:sz w:val="18"/>
      </w:rPr>
      <w:t xml:space="preserve">INFORME DE CONCILIACIÓN AL PROYECTO DE LEY Nos. </w:t>
    </w:r>
    <w:bookmarkStart w:id="2" w:name="_Hlk75192692"/>
    <w:r w:rsidR="000A46F9">
      <w:rPr>
        <w:rFonts w:ascii="Georgia" w:hAnsi="Georgia"/>
        <w:sz w:val="18"/>
      </w:rPr>
      <w:t>482/2021 (Senado) y 625/2021 (Cámara)</w:t>
    </w:r>
    <w:r w:rsidRPr="004C3B63">
      <w:rPr>
        <w:rFonts w:ascii="Georgia" w:hAnsi="Georgia"/>
        <w:sz w:val="18"/>
      </w:rPr>
      <w:t xml:space="preserve"> </w:t>
    </w:r>
  </w:p>
  <w:p w14:paraId="470FAAB0" w14:textId="41045397" w:rsidR="00886CE3" w:rsidRPr="00B018FB" w:rsidRDefault="00886CE3" w:rsidP="00886CE3">
    <w:pPr>
      <w:pStyle w:val="Encabezado"/>
      <w:pBdr>
        <w:bottom w:val="thickThinSmallGap" w:sz="24" w:space="9" w:color="622423"/>
      </w:pBdr>
      <w:jc w:val="center"/>
      <w:rPr>
        <w:rFonts w:ascii="Georgia" w:hAnsi="Georgia"/>
        <w:sz w:val="18"/>
      </w:rPr>
    </w:pPr>
    <w:bookmarkStart w:id="3" w:name="_Hlk75197133"/>
    <w:r w:rsidRPr="004C3B63">
      <w:rPr>
        <w:rFonts w:ascii="Georgia" w:hAnsi="Georgia"/>
        <w:i/>
        <w:sz w:val="18"/>
        <w:lang w:val="es-ES"/>
      </w:rPr>
      <w:t>“</w:t>
    </w:r>
    <w:r w:rsidR="00CD4F38">
      <w:rPr>
        <w:rFonts w:ascii="Georgia" w:hAnsi="Georgia"/>
        <w:i/>
        <w:sz w:val="18"/>
        <w:lang w:val="es-ES"/>
      </w:rPr>
      <w:t>p</w:t>
    </w:r>
    <w:r w:rsidR="000A46F9">
      <w:rPr>
        <w:rFonts w:ascii="Georgia" w:hAnsi="Georgia"/>
        <w:i/>
        <w:sz w:val="18"/>
        <w:lang w:val="es-ES"/>
      </w:rPr>
      <w:t>or medio de la cual se modifican las Leyes 488 de 1998 y 788 de 20</w:t>
    </w:r>
    <w:r w:rsidR="005C64AA">
      <w:rPr>
        <w:rFonts w:ascii="Georgia" w:hAnsi="Georgia"/>
        <w:i/>
        <w:sz w:val="18"/>
        <w:lang w:val="es-ES"/>
      </w:rPr>
      <w:t>0</w:t>
    </w:r>
    <w:r w:rsidR="000A46F9">
      <w:rPr>
        <w:rFonts w:ascii="Georgia" w:hAnsi="Georgia"/>
        <w:i/>
        <w:sz w:val="18"/>
        <w:lang w:val="es-ES"/>
      </w:rPr>
      <w:t>2</w:t>
    </w:r>
    <w:r w:rsidRPr="00DE391A">
      <w:rPr>
        <w:rFonts w:ascii="Georgia" w:hAnsi="Georgia"/>
        <w:i/>
        <w:sz w:val="18"/>
        <w:lang w:val="es-ES"/>
      </w:rPr>
      <w:t>”</w:t>
    </w:r>
    <w:bookmarkEnd w:id="2"/>
  </w:p>
  <w:bookmarkEnd w:id="3"/>
  <w:p w14:paraId="3F140C09" w14:textId="77777777" w:rsidR="00886CE3" w:rsidRDefault="00886CE3" w:rsidP="00886CE3">
    <w:pPr>
      <w:pStyle w:val="Encabezado"/>
    </w:pPr>
  </w:p>
  <w:p w14:paraId="4CEAFD40" w14:textId="77777777" w:rsidR="00886CE3" w:rsidRDefault="00886CE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78E"/>
    <w:rsid w:val="00026E18"/>
    <w:rsid w:val="000426A6"/>
    <w:rsid w:val="00042FDE"/>
    <w:rsid w:val="0009270E"/>
    <w:rsid w:val="000A0C42"/>
    <w:rsid w:val="000A46F9"/>
    <w:rsid w:val="000F35EB"/>
    <w:rsid w:val="00104BB7"/>
    <w:rsid w:val="00113279"/>
    <w:rsid w:val="0013430F"/>
    <w:rsid w:val="00145EA9"/>
    <w:rsid w:val="001934D6"/>
    <w:rsid w:val="00195FFD"/>
    <w:rsid w:val="001A037C"/>
    <w:rsid w:val="001C4AE6"/>
    <w:rsid w:val="001E26F9"/>
    <w:rsid w:val="001F34B6"/>
    <w:rsid w:val="00244F78"/>
    <w:rsid w:val="002C0C02"/>
    <w:rsid w:val="002D1895"/>
    <w:rsid w:val="002D4CAA"/>
    <w:rsid w:val="00313A0C"/>
    <w:rsid w:val="00332A1A"/>
    <w:rsid w:val="003479A4"/>
    <w:rsid w:val="0036362B"/>
    <w:rsid w:val="00375271"/>
    <w:rsid w:val="0039099C"/>
    <w:rsid w:val="00391F31"/>
    <w:rsid w:val="003A4914"/>
    <w:rsid w:val="003B001B"/>
    <w:rsid w:val="003D59B2"/>
    <w:rsid w:val="003E222C"/>
    <w:rsid w:val="00425B72"/>
    <w:rsid w:val="00432676"/>
    <w:rsid w:val="00484B7B"/>
    <w:rsid w:val="004C0D6A"/>
    <w:rsid w:val="005365BE"/>
    <w:rsid w:val="0055620F"/>
    <w:rsid w:val="0056416A"/>
    <w:rsid w:val="005765D7"/>
    <w:rsid w:val="005B1CF6"/>
    <w:rsid w:val="005B54F6"/>
    <w:rsid w:val="005C64AA"/>
    <w:rsid w:val="005D012D"/>
    <w:rsid w:val="005F4553"/>
    <w:rsid w:val="0063033F"/>
    <w:rsid w:val="00630996"/>
    <w:rsid w:val="006605E5"/>
    <w:rsid w:val="00667103"/>
    <w:rsid w:val="0066733D"/>
    <w:rsid w:val="006A1683"/>
    <w:rsid w:val="006A4603"/>
    <w:rsid w:val="006A4610"/>
    <w:rsid w:val="006A4FB3"/>
    <w:rsid w:val="006C1E95"/>
    <w:rsid w:val="006C4C34"/>
    <w:rsid w:val="00717E0D"/>
    <w:rsid w:val="007233A0"/>
    <w:rsid w:val="00737AD2"/>
    <w:rsid w:val="00740385"/>
    <w:rsid w:val="00746126"/>
    <w:rsid w:val="007576E7"/>
    <w:rsid w:val="00791BB8"/>
    <w:rsid w:val="007A0C67"/>
    <w:rsid w:val="007A22B0"/>
    <w:rsid w:val="007A411E"/>
    <w:rsid w:val="007D7D97"/>
    <w:rsid w:val="007E2D84"/>
    <w:rsid w:val="007F4C36"/>
    <w:rsid w:val="00826993"/>
    <w:rsid w:val="00833358"/>
    <w:rsid w:val="008467AB"/>
    <w:rsid w:val="008544E3"/>
    <w:rsid w:val="008565E2"/>
    <w:rsid w:val="00875097"/>
    <w:rsid w:val="00886CE3"/>
    <w:rsid w:val="008B6BC0"/>
    <w:rsid w:val="008C2421"/>
    <w:rsid w:val="008C3524"/>
    <w:rsid w:val="008E2BB1"/>
    <w:rsid w:val="009509BF"/>
    <w:rsid w:val="009A1E71"/>
    <w:rsid w:val="009C08A1"/>
    <w:rsid w:val="009C6A74"/>
    <w:rsid w:val="009E1F89"/>
    <w:rsid w:val="009F3475"/>
    <w:rsid w:val="00A57916"/>
    <w:rsid w:val="00A64CD5"/>
    <w:rsid w:val="00A71073"/>
    <w:rsid w:val="00A90E3D"/>
    <w:rsid w:val="00A94C62"/>
    <w:rsid w:val="00A95EF9"/>
    <w:rsid w:val="00A976C8"/>
    <w:rsid w:val="00AF4474"/>
    <w:rsid w:val="00BA25AA"/>
    <w:rsid w:val="00BA3344"/>
    <w:rsid w:val="00BB2DC1"/>
    <w:rsid w:val="00BB7C88"/>
    <w:rsid w:val="00C328B8"/>
    <w:rsid w:val="00C55036"/>
    <w:rsid w:val="00C73626"/>
    <w:rsid w:val="00CB2DEE"/>
    <w:rsid w:val="00CC6036"/>
    <w:rsid w:val="00CD4F38"/>
    <w:rsid w:val="00CE7904"/>
    <w:rsid w:val="00CF158A"/>
    <w:rsid w:val="00CF22BF"/>
    <w:rsid w:val="00D664BF"/>
    <w:rsid w:val="00DC1F4C"/>
    <w:rsid w:val="00E0278E"/>
    <w:rsid w:val="00E919F8"/>
    <w:rsid w:val="00E948FB"/>
    <w:rsid w:val="00EA53CA"/>
    <w:rsid w:val="00F30FA7"/>
    <w:rsid w:val="00F32C12"/>
    <w:rsid w:val="00F33808"/>
    <w:rsid w:val="00F7648C"/>
    <w:rsid w:val="00F953BF"/>
    <w:rsid w:val="00F9733B"/>
    <w:rsid w:val="00FA0C60"/>
    <w:rsid w:val="00FB5C89"/>
    <w:rsid w:val="00FC1C21"/>
    <w:rsid w:val="00FC1FD1"/>
    <w:rsid w:val="00FC2715"/>
    <w:rsid w:val="00FC29F9"/>
    <w:rsid w:val="00FD29B4"/>
    <w:rsid w:val="00FE29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1DBBF8"/>
  <w15:chartTrackingRefBased/>
  <w15:docId w15:val="{88C8FF5A-C980-4447-8547-FBE082D7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9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26E1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145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5EA9"/>
  </w:style>
  <w:style w:type="paragraph" w:styleId="Piedepgina">
    <w:name w:val="footer"/>
    <w:basedOn w:val="Normal"/>
    <w:link w:val="PiedepginaCar"/>
    <w:uiPriority w:val="99"/>
    <w:unhideWhenUsed/>
    <w:rsid w:val="00145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5EA9"/>
  </w:style>
  <w:style w:type="character" w:styleId="Refdecomentario">
    <w:name w:val="annotation reference"/>
    <w:basedOn w:val="Fuentedeprrafopredeter"/>
    <w:uiPriority w:val="99"/>
    <w:semiHidden/>
    <w:unhideWhenUsed/>
    <w:rsid w:val="00145EA9"/>
    <w:rPr>
      <w:sz w:val="16"/>
      <w:szCs w:val="16"/>
    </w:rPr>
  </w:style>
  <w:style w:type="paragraph" w:styleId="Textocomentario">
    <w:name w:val="annotation text"/>
    <w:basedOn w:val="Normal"/>
    <w:link w:val="TextocomentarioCar"/>
    <w:uiPriority w:val="99"/>
    <w:semiHidden/>
    <w:unhideWhenUsed/>
    <w:rsid w:val="00145E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5EA9"/>
    <w:rPr>
      <w:sz w:val="20"/>
      <w:szCs w:val="20"/>
    </w:rPr>
  </w:style>
  <w:style w:type="paragraph" w:styleId="Asuntodelcomentario">
    <w:name w:val="annotation subject"/>
    <w:basedOn w:val="Textocomentario"/>
    <w:next w:val="Textocomentario"/>
    <w:link w:val="AsuntodelcomentarioCar"/>
    <w:uiPriority w:val="99"/>
    <w:semiHidden/>
    <w:unhideWhenUsed/>
    <w:rsid w:val="00145EA9"/>
    <w:rPr>
      <w:b/>
      <w:bCs/>
    </w:rPr>
  </w:style>
  <w:style w:type="character" w:customStyle="1" w:styleId="AsuntodelcomentarioCar">
    <w:name w:val="Asunto del comentario Car"/>
    <w:basedOn w:val="TextocomentarioCar"/>
    <w:link w:val="Asuntodelcomentario"/>
    <w:uiPriority w:val="99"/>
    <w:semiHidden/>
    <w:rsid w:val="00145EA9"/>
    <w:rPr>
      <w:b/>
      <w:bCs/>
      <w:sz w:val="20"/>
      <w:szCs w:val="20"/>
    </w:rPr>
  </w:style>
  <w:style w:type="paragraph" w:styleId="Textodeglobo">
    <w:name w:val="Balloon Text"/>
    <w:basedOn w:val="Normal"/>
    <w:link w:val="TextodegloboCar"/>
    <w:uiPriority w:val="99"/>
    <w:semiHidden/>
    <w:unhideWhenUsed/>
    <w:rsid w:val="00145E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5EA9"/>
    <w:rPr>
      <w:rFonts w:ascii="Segoe UI" w:hAnsi="Segoe UI" w:cs="Segoe UI"/>
      <w:sz w:val="18"/>
      <w:szCs w:val="18"/>
    </w:rPr>
  </w:style>
  <w:style w:type="table" w:styleId="Tablaconcuadrcula">
    <w:name w:val="Table Grid"/>
    <w:basedOn w:val="Tablanormal"/>
    <w:uiPriority w:val="39"/>
    <w:rsid w:val="00536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40385"/>
    <w:pPr>
      <w:spacing w:after="0" w:line="240" w:lineRule="auto"/>
    </w:pPr>
    <w:rPr>
      <w:lang w:val="es-ES"/>
    </w:rPr>
  </w:style>
  <w:style w:type="paragraph" w:styleId="Textonotapie">
    <w:name w:val="footnote text"/>
    <w:basedOn w:val="Normal"/>
    <w:link w:val="TextonotapieCar"/>
    <w:uiPriority w:val="99"/>
    <w:semiHidden/>
    <w:unhideWhenUsed/>
    <w:rsid w:val="00FE29F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E29F9"/>
    <w:rPr>
      <w:sz w:val="20"/>
      <w:szCs w:val="20"/>
    </w:rPr>
  </w:style>
  <w:style w:type="character" w:styleId="Refdenotaalpie">
    <w:name w:val="footnote reference"/>
    <w:basedOn w:val="Fuentedeprrafopredeter"/>
    <w:uiPriority w:val="99"/>
    <w:semiHidden/>
    <w:unhideWhenUsed/>
    <w:rsid w:val="00FE29F9"/>
    <w:rPr>
      <w:vertAlign w:val="superscript"/>
    </w:rPr>
  </w:style>
  <w:style w:type="paragraph" w:styleId="Prrafodelista">
    <w:name w:val="List Paragraph"/>
    <w:aliases w:val="List,# pharagraph,Viñeta 1,Bolita,Párrafo de lista3,Párrafo de lista4,Párrafo de lista5,items,Ha,titulo 3,HOJA,BOLADEF,Párrafo de lista21,BOLA,Nivel 1 OS,EITI list,Bullets,Cuadrícula media 1 - Énfasis 21,Pбrrafo de lista,Fluvial1"/>
    <w:basedOn w:val="Normal"/>
    <w:link w:val="PrrafodelistaCar"/>
    <w:uiPriority w:val="34"/>
    <w:qFormat/>
    <w:rsid w:val="009C6A74"/>
    <w:pPr>
      <w:ind w:left="720"/>
      <w:contextualSpacing/>
    </w:pPr>
  </w:style>
  <w:style w:type="character" w:customStyle="1" w:styleId="PrrafodelistaCar">
    <w:name w:val="Párrafo de lista Car"/>
    <w:aliases w:val="List Car,# pharagraph Car,Viñeta 1 Car,Bolita Car,Párrafo de lista3 Car,Párrafo de lista4 Car,Párrafo de lista5 Car,items Car,Ha Car,titulo 3 Car,HOJA Car,BOLADEF Car,Párrafo de lista21 Car,BOLA Car,Nivel 1 OS Car,EITI list Car"/>
    <w:link w:val="Prrafodelista"/>
    <w:uiPriority w:val="34"/>
    <w:qFormat/>
    <w:locked/>
    <w:rsid w:val="009C6A74"/>
  </w:style>
  <w:style w:type="paragraph" w:customStyle="1" w:styleId="pa23">
    <w:name w:val="pa23"/>
    <w:basedOn w:val="Normal"/>
    <w:rsid w:val="009C6A74"/>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25559">
      <w:bodyDiv w:val="1"/>
      <w:marLeft w:val="0"/>
      <w:marRight w:val="0"/>
      <w:marTop w:val="0"/>
      <w:marBottom w:val="0"/>
      <w:divBdr>
        <w:top w:val="none" w:sz="0" w:space="0" w:color="auto"/>
        <w:left w:val="none" w:sz="0" w:space="0" w:color="auto"/>
        <w:bottom w:val="none" w:sz="0" w:space="0" w:color="auto"/>
        <w:right w:val="none" w:sz="0" w:space="0" w:color="auto"/>
      </w:divBdr>
    </w:div>
    <w:div w:id="684016602">
      <w:bodyDiv w:val="1"/>
      <w:marLeft w:val="0"/>
      <w:marRight w:val="0"/>
      <w:marTop w:val="0"/>
      <w:marBottom w:val="0"/>
      <w:divBdr>
        <w:top w:val="none" w:sz="0" w:space="0" w:color="auto"/>
        <w:left w:val="none" w:sz="0" w:space="0" w:color="auto"/>
        <w:bottom w:val="none" w:sz="0" w:space="0" w:color="auto"/>
        <w:right w:val="none" w:sz="0" w:space="0" w:color="auto"/>
      </w:divBdr>
    </w:div>
    <w:div w:id="1520848465">
      <w:bodyDiv w:val="1"/>
      <w:marLeft w:val="0"/>
      <w:marRight w:val="0"/>
      <w:marTop w:val="0"/>
      <w:marBottom w:val="0"/>
      <w:divBdr>
        <w:top w:val="none" w:sz="0" w:space="0" w:color="auto"/>
        <w:left w:val="none" w:sz="0" w:space="0" w:color="auto"/>
        <w:bottom w:val="none" w:sz="0" w:space="0" w:color="auto"/>
        <w:right w:val="none" w:sz="0" w:space="0" w:color="auto"/>
      </w:divBdr>
    </w:div>
    <w:div w:id="212515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BB22B-B5BD-4332-85F1-5FE4B789D38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2857</Words>
  <Characters>15717</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Isabel Cruz Montilla</dc:creator>
  <cp:keywords/>
  <dc:description/>
  <cp:lastModifiedBy>David Cordoba Cala</cp:lastModifiedBy>
  <cp:revision>2</cp:revision>
  <dcterms:created xsi:type="dcterms:W3CDTF">2021-06-22T02:23:00Z</dcterms:created>
  <dcterms:modified xsi:type="dcterms:W3CDTF">2021-06-22T02:23:00Z</dcterms:modified>
</cp:coreProperties>
</file>